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91B72" w:rsidRPr="00520A4B" w:rsidP="00CF49AB">
      <w:pPr>
        <w:jc w:val="center"/>
        <w:rPr>
          <w:b/>
          <w:color w:val="000000" w:themeColor="text1"/>
          <w:sz w:val="28"/>
          <w:szCs w:val="28"/>
          <w:u w:val="single"/>
        </w:rPr>
      </w:pPr>
      <w:r>
        <w:rPr>
          <w:b/>
          <w:color w:val="000000" w:themeColor="text1"/>
          <w:sz w:val="28"/>
          <w:szCs w:val="28"/>
          <w:u w:val="single"/>
        </w:rPr>
        <w:t xml:space="preserve"> </w:t>
      </w:r>
      <w:r w:rsidRPr="00520A4B">
        <w:rPr>
          <w:b/>
          <w:color w:val="000000" w:themeColor="text1"/>
          <w:sz w:val="28"/>
          <w:szCs w:val="28"/>
          <w:u w:val="single"/>
        </w:rPr>
        <w:t xml:space="preserve">Appendix A: Proposed Amendments to the </w:t>
      </w:r>
      <w:r>
        <w:rPr>
          <w:b/>
          <w:color w:val="000000" w:themeColor="text1"/>
          <w:sz w:val="28"/>
          <w:szCs w:val="28"/>
          <w:u w:val="single"/>
        </w:rPr>
        <w:t xml:space="preserve">Approved </w:t>
      </w:r>
      <w:r w:rsidRPr="00520A4B">
        <w:rPr>
          <w:b/>
          <w:color w:val="000000" w:themeColor="text1"/>
          <w:sz w:val="28"/>
          <w:szCs w:val="28"/>
          <w:u w:val="single"/>
        </w:rPr>
        <w:t>Highways</w:t>
      </w:r>
      <w:r>
        <w:rPr>
          <w:b/>
          <w:color w:val="000000" w:themeColor="text1"/>
          <w:sz w:val="28"/>
          <w:szCs w:val="28"/>
          <w:u w:val="single"/>
        </w:rPr>
        <w:t xml:space="preserve"> and Transport</w:t>
      </w:r>
      <w:r w:rsidRPr="00520A4B">
        <w:rPr>
          <w:b/>
          <w:color w:val="000000" w:themeColor="text1"/>
          <w:sz w:val="28"/>
          <w:szCs w:val="28"/>
          <w:u w:val="single"/>
        </w:rPr>
        <w:t xml:space="preserve"> Capital Programme</w:t>
      </w:r>
      <w:r>
        <w:rPr>
          <w:b/>
          <w:color w:val="000000" w:themeColor="text1"/>
          <w:sz w:val="28"/>
          <w:szCs w:val="28"/>
          <w:u w:val="single"/>
        </w:rPr>
        <w:t>s</w:t>
      </w:r>
    </w:p>
    <w:tbl>
      <w:tblPr>
        <w:tblStyle w:val="TableGrid"/>
        <w:tblW w:w="22397" w:type="dxa"/>
        <w:tblInd w:w="-572" w:type="dxa"/>
        <w:tblLayout w:type="fixed"/>
        <w:tblLook w:val="04A0"/>
      </w:tblPr>
      <w:tblGrid>
        <w:gridCol w:w="567"/>
        <w:gridCol w:w="1701"/>
        <w:gridCol w:w="1985"/>
        <w:gridCol w:w="12332"/>
        <w:gridCol w:w="1418"/>
        <w:gridCol w:w="1559"/>
        <w:gridCol w:w="1134"/>
        <w:gridCol w:w="1701"/>
      </w:tblGrid>
      <w:tr w:rsidTr="00391132">
        <w:tblPrEx>
          <w:tblW w:w="22397" w:type="dxa"/>
          <w:tblInd w:w="-572" w:type="dxa"/>
          <w:tblLayout w:type="fixed"/>
          <w:tblLook w:val="04A0"/>
        </w:tblPrEx>
        <w:trPr>
          <w:trHeight w:val="455"/>
        </w:trPr>
        <w:tc>
          <w:tcPr>
            <w:tcW w:w="22397" w:type="dxa"/>
            <w:gridSpan w:val="8"/>
            <w:shd w:val="clear" w:color="auto" w:fill="D9D9D9" w:themeFill="background1" w:themeFillShade="D9"/>
            <w:vAlign w:val="center"/>
          </w:tcPr>
          <w:p w:rsidR="006121C6" w:rsidRPr="00C92A38" w:rsidP="006121C6">
            <w:pPr>
              <w:jc w:val="center"/>
              <w:rPr>
                <w:b/>
                <w:color w:val="000000" w:themeColor="text1"/>
                <w:sz w:val="24"/>
                <w:szCs w:val="24"/>
              </w:rPr>
            </w:pPr>
            <w:r w:rsidRPr="00C92A38">
              <w:rPr>
                <w:b/>
                <w:color w:val="000000" w:themeColor="text1"/>
                <w:sz w:val="24"/>
                <w:szCs w:val="24"/>
              </w:rPr>
              <w:t>Project Details</w:t>
            </w:r>
          </w:p>
        </w:tc>
      </w:tr>
      <w:tr w:rsidTr="00391132">
        <w:tblPrEx>
          <w:tblW w:w="22397" w:type="dxa"/>
          <w:tblInd w:w="-572" w:type="dxa"/>
          <w:tblLayout w:type="fixed"/>
          <w:tblLook w:val="04A0"/>
        </w:tblPrEx>
        <w:trPr>
          <w:trHeight w:val="987"/>
        </w:trPr>
        <w:tc>
          <w:tcPr>
            <w:tcW w:w="567"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No</w:t>
            </w:r>
          </w:p>
        </w:tc>
        <w:tc>
          <w:tcPr>
            <w:tcW w:w="1701"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Scheme Name</w:t>
            </w:r>
          </w:p>
        </w:tc>
        <w:tc>
          <w:tcPr>
            <w:tcW w:w="1985" w:type="dxa"/>
            <w:shd w:val="clear" w:color="auto" w:fill="D9D9D9" w:themeFill="background1" w:themeFillShade="D9"/>
            <w:vAlign w:val="center"/>
          </w:tcPr>
          <w:p w:rsidR="008375DA" w:rsidRPr="00C92A38" w:rsidP="000C3BA7">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8375DA" w:rsidRPr="00C92A38" w:rsidP="003E72A0">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8375DA" w:rsidRPr="00C92A38" w:rsidP="003A55F7">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8375DA" w:rsidRPr="00C92A38" w:rsidP="003A55F7">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8375DA" w:rsidRPr="00C92A38" w:rsidP="001F56DA">
            <w:pPr>
              <w:jc w:val="center"/>
              <w:rPr>
                <w:b/>
                <w:color w:val="000000" w:themeColor="text1"/>
                <w:sz w:val="24"/>
                <w:szCs w:val="24"/>
              </w:rPr>
            </w:pPr>
            <w:r w:rsidRPr="00C92A38">
              <w:rPr>
                <w:b/>
                <w:color w:val="000000" w:themeColor="text1"/>
                <w:sz w:val="24"/>
                <w:szCs w:val="24"/>
              </w:rPr>
              <w:t xml:space="preserve">Proposed Scheme </w:t>
            </w:r>
            <w:r w:rsidRPr="00C92A38">
              <w:rPr>
                <w:b/>
                <w:color w:val="000000" w:themeColor="text1"/>
                <w:sz w:val="24"/>
                <w:szCs w:val="24"/>
              </w:rPr>
              <w:t>Allocation</w:t>
            </w:r>
          </w:p>
        </w:tc>
      </w:tr>
      <w:tr w:rsidTr="008C5E1A">
        <w:tblPrEx>
          <w:tblW w:w="22397" w:type="dxa"/>
          <w:tblInd w:w="-572" w:type="dxa"/>
          <w:tblLayout w:type="fixed"/>
          <w:tblLook w:val="04A0"/>
        </w:tblPrEx>
        <w:trPr>
          <w:trHeight w:val="418"/>
        </w:trPr>
        <w:tc>
          <w:tcPr>
            <w:tcW w:w="567" w:type="dxa"/>
            <w:shd w:val="clear" w:color="auto" w:fill="auto"/>
            <w:vAlign w:val="center"/>
          </w:tcPr>
          <w:p w:rsidR="00026AE0" w:rsidRPr="00C92A38" w:rsidP="00387E4A">
            <w:pPr>
              <w:jc w:val="center"/>
              <w:rPr>
                <w:b/>
                <w:color w:val="000000" w:themeColor="text1"/>
                <w:sz w:val="24"/>
                <w:szCs w:val="24"/>
              </w:rPr>
            </w:pPr>
          </w:p>
        </w:tc>
        <w:tc>
          <w:tcPr>
            <w:tcW w:w="1701" w:type="dxa"/>
            <w:shd w:val="clear" w:color="auto" w:fill="auto"/>
            <w:vAlign w:val="center"/>
          </w:tcPr>
          <w:p w:rsidR="00026AE0" w:rsidRPr="00C92A38" w:rsidP="00387E4A">
            <w:pPr>
              <w:jc w:val="center"/>
              <w:rPr>
                <w:b/>
                <w:color w:val="000000" w:themeColor="text1"/>
                <w:sz w:val="24"/>
                <w:szCs w:val="24"/>
              </w:rPr>
            </w:pPr>
          </w:p>
        </w:tc>
        <w:tc>
          <w:tcPr>
            <w:tcW w:w="1985" w:type="dxa"/>
            <w:shd w:val="clear" w:color="auto" w:fill="auto"/>
            <w:vAlign w:val="center"/>
          </w:tcPr>
          <w:p w:rsidR="00026AE0" w:rsidRPr="00C92A38" w:rsidP="000C3BA7">
            <w:pPr>
              <w:jc w:val="center"/>
              <w:rPr>
                <w:b/>
                <w:color w:val="000000" w:themeColor="text1"/>
                <w:sz w:val="24"/>
                <w:szCs w:val="24"/>
              </w:rPr>
            </w:pPr>
          </w:p>
        </w:tc>
        <w:tc>
          <w:tcPr>
            <w:tcW w:w="18144" w:type="dxa"/>
            <w:gridSpan w:val="5"/>
            <w:shd w:val="clear" w:color="auto" w:fill="auto"/>
            <w:vAlign w:val="center"/>
          </w:tcPr>
          <w:p w:rsidR="00026AE0" w:rsidRPr="00C92A38" w:rsidP="000C74AA">
            <w:pPr>
              <w:rPr>
                <w:b/>
                <w:color w:val="000000" w:themeColor="text1"/>
                <w:sz w:val="24"/>
                <w:szCs w:val="24"/>
              </w:rPr>
            </w:pPr>
            <w:r>
              <w:rPr>
                <w:b/>
                <w:color w:val="000000" w:themeColor="text1"/>
                <w:sz w:val="24"/>
                <w:szCs w:val="24"/>
              </w:rPr>
              <w:t>2016/17</w:t>
            </w:r>
            <w:r w:rsidRPr="00C92A38">
              <w:rPr>
                <w:b/>
                <w:color w:val="000000" w:themeColor="text1"/>
                <w:sz w:val="24"/>
                <w:szCs w:val="24"/>
              </w:rPr>
              <w:t xml:space="preserve"> New Start </w:t>
            </w:r>
            <w:r>
              <w:rPr>
                <w:b/>
                <w:color w:val="000000" w:themeColor="text1"/>
                <w:sz w:val="24"/>
                <w:szCs w:val="24"/>
              </w:rPr>
              <w:t>Local Priority  Response Fund</w:t>
            </w:r>
          </w:p>
        </w:tc>
      </w:tr>
      <w:tr w:rsidTr="00263A56">
        <w:tblPrEx>
          <w:tblW w:w="22397" w:type="dxa"/>
          <w:tblInd w:w="-572" w:type="dxa"/>
          <w:tblLayout w:type="fixed"/>
          <w:tblLook w:val="04A0"/>
        </w:tblPrEx>
        <w:trPr>
          <w:trHeight w:val="1402"/>
        </w:trPr>
        <w:tc>
          <w:tcPr>
            <w:tcW w:w="567" w:type="dxa"/>
            <w:shd w:val="clear" w:color="auto" w:fill="auto"/>
          </w:tcPr>
          <w:p w:rsidR="0032400B" w:rsidP="0032400B">
            <w:pPr>
              <w:rPr>
                <w:color w:val="000000" w:themeColor="text1"/>
                <w:sz w:val="24"/>
                <w:szCs w:val="24"/>
              </w:rPr>
            </w:pPr>
            <w:r>
              <w:rPr>
                <w:color w:val="000000" w:themeColor="text1"/>
                <w:sz w:val="24"/>
                <w:szCs w:val="24"/>
              </w:rPr>
              <w:t>1.</w:t>
            </w:r>
          </w:p>
        </w:tc>
        <w:tc>
          <w:tcPr>
            <w:tcW w:w="1701" w:type="dxa"/>
            <w:shd w:val="clear" w:color="auto" w:fill="auto"/>
          </w:tcPr>
          <w:p w:rsidR="0032400B" w:rsidRPr="00217B5E" w:rsidP="0032400B">
            <w:pPr>
              <w:rPr>
                <w:rFonts w:cs="Arial"/>
                <w:sz w:val="24"/>
                <w:szCs w:val="24"/>
              </w:rPr>
            </w:pPr>
            <w:r w:rsidRPr="00C5747D">
              <w:rPr>
                <w:rFonts w:cs="Arial"/>
                <w:bCs/>
                <w:color w:val="000000" w:themeColor="text1"/>
                <w:sz w:val="24"/>
                <w:szCs w:val="24"/>
              </w:rPr>
              <w:t>Goodshaw Avenue Phase 2 Carriageway Resurfacing</w:t>
            </w:r>
          </w:p>
        </w:tc>
        <w:tc>
          <w:tcPr>
            <w:tcW w:w="1985" w:type="dxa"/>
            <w:shd w:val="clear" w:color="auto" w:fill="auto"/>
          </w:tcPr>
          <w:p w:rsidR="0032400B" w:rsidRPr="00B72A13" w:rsidP="00217B5E">
            <w:pPr>
              <w:rPr>
                <w:color w:val="000000" w:themeColor="text1"/>
                <w:sz w:val="24"/>
                <w:szCs w:val="24"/>
              </w:rPr>
            </w:pPr>
            <w:r>
              <w:rPr>
                <w:color w:val="000000" w:themeColor="text1"/>
                <w:sz w:val="24"/>
                <w:szCs w:val="24"/>
              </w:rPr>
              <w:t xml:space="preserve">Rossendale North, Rossendale </w:t>
            </w:r>
          </w:p>
        </w:tc>
        <w:tc>
          <w:tcPr>
            <w:tcW w:w="12332" w:type="dxa"/>
            <w:shd w:val="clear" w:color="auto" w:fill="auto"/>
          </w:tcPr>
          <w:p w:rsidR="00217B5E" w:rsidP="005B6665">
            <w:pPr>
              <w:jc w:val="both"/>
              <w:rPr>
                <w:rFonts w:cs="Arial"/>
                <w:color w:val="000000"/>
                <w:sz w:val="24"/>
                <w:szCs w:val="24"/>
              </w:rPr>
            </w:pPr>
            <w:r>
              <w:rPr>
                <w:rFonts w:cs="Arial"/>
                <w:color w:val="000000"/>
                <w:sz w:val="24"/>
                <w:szCs w:val="24"/>
              </w:rPr>
              <w:t xml:space="preserve">This scheme was originally allocated £38,156 for carriageway resurfacing from Goodshaw Lane to the Little </w:t>
            </w:r>
            <w:r>
              <w:rPr>
                <w:rFonts w:cs="Arial"/>
                <w:color w:val="000000"/>
                <w:sz w:val="24"/>
                <w:szCs w:val="24"/>
              </w:rPr>
              <w:t>Nippers nursery.</w:t>
            </w:r>
          </w:p>
          <w:p w:rsidR="000B191D" w:rsidRPr="00441154" w:rsidP="00263A56">
            <w:pPr>
              <w:jc w:val="both"/>
              <w:rPr>
                <w:rFonts w:cs="Arial"/>
                <w:color w:val="000000"/>
                <w:sz w:val="24"/>
                <w:szCs w:val="24"/>
              </w:rPr>
            </w:pPr>
            <w:r>
              <w:rPr>
                <w:rFonts w:cs="Arial"/>
                <w:color w:val="000000"/>
                <w:sz w:val="24"/>
                <w:szCs w:val="24"/>
              </w:rPr>
              <w:t xml:space="preserve">However the northern spur of the road, along with the adjacent All Saints Close is now in need of resurfacing as they are also in a very poor condition and have rapidly deteriorated over the winter period.  As such it is proposed that the </w:t>
            </w:r>
            <w:r>
              <w:rPr>
                <w:rFonts w:cs="Arial"/>
                <w:color w:val="000000"/>
                <w:sz w:val="24"/>
                <w:szCs w:val="24"/>
              </w:rPr>
              <w:t>additional monies are allocated from the remaining unallocated budget in the programme to allow these extra works to take place.</w:t>
            </w:r>
          </w:p>
        </w:tc>
        <w:tc>
          <w:tcPr>
            <w:tcW w:w="1418"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£38,156</w:t>
            </w:r>
          </w:p>
        </w:tc>
        <w:tc>
          <w:tcPr>
            <w:tcW w:w="1559"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£22,320</w:t>
            </w:r>
          </w:p>
        </w:tc>
        <w:tc>
          <w:tcPr>
            <w:tcW w:w="1134"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£60,476</w:t>
            </w:r>
          </w:p>
        </w:tc>
      </w:tr>
      <w:tr w:rsidTr="00B12145">
        <w:tblPrEx>
          <w:tblW w:w="22397" w:type="dxa"/>
          <w:tblInd w:w="-572" w:type="dxa"/>
          <w:tblLayout w:type="fixed"/>
          <w:tblLook w:val="04A0"/>
        </w:tblPrEx>
        <w:trPr>
          <w:trHeight w:val="410"/>
        </w:trPr>
        <w:tc>
          <w:tcPr>
            <w:tcW w:w="567" w:type="dxa"/>
            <w:shd w:val="clear" w:color="auto" w:fill="auto"/>
          </w:tcPr>
          <w:p w:rsidR="001B690A" w:rsidRPr="00C92A38" w:rsidP="001B690A">
            <w:pPr>
              <w:rPr>
                <w:color w:val="000000" w:themeColor="text1"/>
                <w:sz w:val="24"/>
                <w:szCs w:val="24"/>
              </w:rPr>
            </w:pPr>
          </w:p>
        </w:tc>
        <w:tc>
          <w:tcPr>
            <w:tcW w:w="1701" w:type="dxa"/>
            <w:shd w:val="clear" w:color="auto" w:fill="auto"/>
            <w:vAlign w:val="center"/>
          </w:tcPr>
          <w:p w:rsidR="001B690A" w:rsidRPr="00C92A38" w:rsidP="001B690A">
            <w:pPr>
              <w:jc w:val="center"/>
              <w:rPr>
                <w:b/>
                <w:color w:val="000000" w:themeColor="text1"/>
                <w:sz w:val="24"/>
                <w:szCs w:val="24"/>
              </w:rPr>
            </w:pPr>
          </w:p>
        </w:tc>
        <w:tc>
          <w:tcPr>
            <w:tcW w:w="1985" w:type="dxa"/>
            <w:shd w:val="clear" w:color="auto" w:fill="auto"/>
            <w:vAlign w:val="center"/>
          </w:tcPr>
          <w:p w:rsidR="001B690A" w:rsidRPr="00C92A38" w:rsidP="001B690A">
            <w:pPr>
              <w:jc w:val="center"/>
              <w:rPr>
                <w:b/>
                <w:color w:val="000000" w:themeColor="text1"/>
                <w:sz w:val="24"/>
                <w:szCs w:val="24"/>
              </w:rPr>
            </w:pPr>
          </w:p>
        </w:tc>
        <w:tc>
          <w:tcPr>
            <w:tcW w:w="12332" w:type="dxa"/>
            <w:shd w:val="clear" w:color="auto" w:fill="auto"/>
            <w:vAlign w:val="center"/>
          </w:tcPr>
          <w:p w:rsidR="001B690A" w:rsidRPr="00C92A38" w:rsidP="001B690A">
            <w:pPr>
              <w:jc w:val="right"/>
              <w:rPr>
                <w:b/>
                <w:color w:val="000000" w:themeColor="text1"/>
                <w:sz w:val="24"/>
                <w:szCs w:val="24"/>
              </w:rPr>
            </w:pPr>
            <w:r w:rsidRPr="00C92A38">
              <w:rPr>
                <w:b/>
                <w:color w:val="000000" w:themeColor="text1"/>
                <w:sz w:val="24"/>
                <w:szCs w:val="24"/>
              </w:rPr>
              <w:t xml:space="preserve">Revised </w:t>
            </w:r>
            <w:r>
              <w:rPr>
                <w:b/>
                <w:color w:val="000000" w:themeColor="text1"/>
                <w:sz w:val="24"/>
                <w:szCs w:val="24"/>
              </w:rPr>
              <w:t>2016/17</w:t>
            </w:r>
            <w:r w:rsidRPr="00C92A38">
              <w:rPr>
                <w:b/>
                <w:color w:val="000000" w:themeColor="text1"/>
                <w:sz w:val="24"/>
                <w:szCs w:val="24"/>
              </w:rPr>
              <w:t xml:space="preserve"> New Start </w:t>
            </w:r>
            <w:r>
              <w:rPr>
                <w:b/>
                <w:color w:val="000000" w:themeColor="text1"/>
                <w:sz w:val="24"/>
                <w:szCs w:val="24"/>
              </w:rPr>
              <w:t>Local Priority  Response Fund</w:t>
            </w:r>
          </w:p>
        </w:tc>
        <w:tc>
          <w:tcPr>
            <w:tcW w:w="1418" w:type="dxa"/>
            <w:shd w:val="clear" w:color="auto" w:fill="auto"/>
            <w:vAlign w:val="center"/>
          </w:tcPr>
          <w:p w:rsidR="001B690A" w:rsidRPr="001B690A" w:rsidP="001B690A">
            <w:pPr>
              <w:jc w:val="center"/>
              <w:rPr>
                <w:b/>
                <w:color w:val="000000" w:themeColor="text1"/>
                <w:sz w:val="24"/>
                <w:szCs w:val="24"/>
              </w:rPr>
            </w:pPr>
            <w:r w:rsidRPr="001B690A">
              <w:rPr>
                <w:b/>
                <w:color w:val="000000" w:themeColor="text1"/>
                <w:sz w:val="24"/>
                <w:szCs w:val="24"/>
              </w:rPr>
              <w:t>£38,156</w:t>
            </w:r>
          </w:p>
        </w:tc>
        <w:tc>
          <w:tcPr>
            <w:tcW w:w="1559" w:type="dxa"/>
            <w:shd w:val="clear" w:color="auto" w:fill="auto"/>
            <w:vAlign w:val="center"/>
          </w:tcPr>
          <w:p w:rsidR="001B690A" w:rsidRPr="001B690A" w:rsidP="001B690A">
            <w:pPr>
              <w:jc w:val="center"/>
              <w:rPr>
                <w:b/>
                <w:color w:val="000000" w:themeColor="text1"/>
                <w:sz w:val="24"/>
                <w:szCs w:val="24"/>
              </w:rPr>
            </w:pPr>
            <w:r w:rsidRPr="001B690A">
              <w:rPr>
                <w:b/>
                <w:color w:val="000000" w:themeColor="text1"/>
                <w:sz w:val="24"/>
                <w:szCs w:val="24"/>
              </w:rPr>
              <w:t>£22,320</w:t>
            </w:r>
          </w:p>
        </w:tc>
        <w:tc>
          <w:tcPr>
            <w:tcW w:w="1134" w:type="dxa"/>
            <w:shd w:val="clear" w:color="auto" w:fill="auto"/>
            <w:vAlign w:val="center"/>
          </w:tcPr>
          <w:p w:rsidR="001B690A" w:rsidRPr="001B690A" w:rsidP="001B690A">
            <w:pPr>
              <w:jc w:val="center"/>
              <w:rPr>
                <w:b/>
                <w:color w:val="000000" w:themeColor="text1"/>
                <w:sz w:val="24"/>
                <w:szCs w:val="24"/>
              </w:rPr>
            </w:pPr>
            <w:r w:rsidRPr="001B690A">
              <w:rPr>
                <w:b/>
                <w:color w:val="000000" w:themeColor="text1"/>
                <w:sz w:val="24"/>
                <w:szCs w:val="24"/>
              </w:rPr>
              <w:t>£0</w:t>
            </w:r>
          </w:p>
        </w:tc>
        <w:tc>
          <w:tcPr>
            <w:tcW w:w="1701" w:type="dxa"/>
            <w:shd w:val="clear" w:color="auto" w:fill="auto"/>
            <w:vAlign w:val="center"/>
          </w:tcPr>
          <w:p w:rsidR="001B690A" w:rsidRPr="001B690A" w:rsidP="001B690A">
            <w:pPr>
              <w:jc w:val="center"/>
              <w:rPr>
                <w:b/>
                <w:color w:val="000000" w:themeColor="text1"/>
                <w:sz w:val="24"/>
                <w:szCs w:val="24"/>
              </w:rPr>
            </w:pPr>
            <w:r w:rsidRPr="001B690A">
              <w:rPr>
                <w:b/>
                <w:color w:val="000000" w:themeColor="text1"/>
                <w:sz w:val="24"/>
                <w:szCs w:val="24"/>
              </w:rPr>
              <w:t>£60,476</w:t>
            </w:r>
          </w:p>
        </w:tc>
      </w:tr>
      <w:tr w:rsidTr="00391132">
        <w:tblPrEx>
          <w:tblW w:w="22397" w:type="dxa"/>
          <w:tblInd w:w="-572" w:type="dxa"/>
          <w:tblLayout w:type="fixed"/>
          <w:tblLook w:val="04A0"/>
        </w:tblPrEx>
        <w:trPr>
          <w:trHeight w:val="410"/>
        </w:trPr>
        <w:tc>
          <w:tcPr>
            <w:tcW w:w="567" w:type="dxa"/>
            <w:shd w:val="clear" w:color="auto" w:fill="auto"/>
          </w:tcPr>
          <w:p w:rsidR="0032400B" w:rsidRPr="00C92A38" w:rsidP="0032400B">
            <w:pPr>
              <w:rPr>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c>
          <w:tcPr>
            <w:tcW w:w="1985" w:type="dxa"/>
            <w:shd w:val="clear" w:color="auto" w:fill="auto"/>
            <w:vAlign w:val="center"/>
          </w:tcPr>
          <w:p w:rsidR="0032400B" w:rsidRPr="00C92A38" w:rsidP="0032400B">
            <w:pPr>
              <w:jc w:val="center"/>
              <w:rPr>
                <w:b/>
                <w:color w:val="000000" w:themeColor="text1"/>
                <w:sz w:val="24"/>
                <w:szCs w:val="24"/>
              </w:rPr>
            </w:pPr>
          </w:p>
        </w:tc>
        <w:tc>
          <w:tcPr>
            <w:tcW w:w="12332" w:type="dxa"/>
            <w:shd w:val="clear" w:color="auto" w:fill="auto"/>
            <w:vAlign w:val="center"/>
          </w:tcPr>
          <w:p w:rsidR="0032400B" w:rsidRPr="00C92A38" w:rsidP="0032400B">
            <w:pPr>
              <w:rPr>
                <w:b/>
                <w:color w:val="000000" w:themeColor="text1"/>
                <w:sz w:val="24"/>
                <w:szCs w:val="24"/>
              </w:rPr>
            </w:pPr>
            <w:r>
              <w:rPr>
                <w:b/>
                <w:color w:val="000000" w:themeColor="text1"/>
                <w:sz w:val="24"/>
                <w:szCs w:val="24"/>
              </w:rPr>
              <w:t>2013/14</w:t>
            </w:r>
            <w:r w:rsidRPr="00C92A38">
              <w:rPr>
                <w:b/>
                <w:color w:val="000000" w:themeColor="text1"/>
                <w:sz w:val="24"/>
                <w:szCs w:val="24"/>
              </w:rPr>
              <w:t xml:space="preserve"> New Start Road Safety</w:t>
            </w:r>
          </w:p>
        </w:tc>
        <w:tc>
          <w:tcPr>
            <w:tcW w:w="1418" w:type="dxa"/>
            <w:shd w:val="clear" w:color="auto" w:fill="auto"/>
            <w:vAlign w:val="center"/>
          </w:tcPr>
          <w:p w:rsidR="0032400B" w:rsidRPr="00C92A38" w:rsidP="0032400B">
            <w:pPr>
              <w:jc w:val="center"/>
              <w:rPr>
                <w:b/>
                <w:color w:val="000000" w:themeColor="text1"/>
                <w:sz w:val="24"/>
                <w:szCs w:val="24"/>
              </w:rPr>
            </w:pPr>
          </w:p>
        </w:tc>
        <w:tc>
          <w:tcPr>
            <w:tcW w:w="1559" w:type="dxa"/>
            <w:shd w:val="clear" w:color="auto" w:fill="auto"/>
            <w:vAlign w:val="center"/>
          </w:tcPr>
          <w:p w:rsidR="0032400B" w:rsidRPr="00C92A38" w:rsidP="0032400B">
            <w:pPr>
              <w:jc w:val="center"/>
              <w:rPr>
                <w:b/>
                <w:color w:val="000000" w:themeColor="text1"/>
                <w:sz w:val="24"/>
                <w:szCs w:val="24"/>
              </w:rPr>
            </w:pPr>
          </w:p>
        </w:tc>
        <w:tc>
          <w:tcPr>
            <w:tcW w:w="1134" w:type="dxa"/>
            <w:shd w:val="clear" w:color="auto" w:fill="auto"/>
            <w:vAlign w:val="center"/>
          </w:tcPr>
          <w:p w:rsidR="0032400B" w:rsidRPr="00C92A38" w:rsidP="0032400B">
            <w:pPr>
              <w:jc w:val="center"/>
              <w:rPr>
                <w:b/>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r>
      <w:tr w:rsidTr="00263A56">
        <w:tblPrEx>
          <w:tblW w:w="22397" w:type="dxa"/>
          <w:tblInd w:w="-572" w:type="dxa"/>
          <w:tblLayout w:type="fixed"/>
          <w:tblLook w:val="04A0"/>
        </w:tblPrEx>
        <w:trPr>
          <w:trHeight w:val="1561"/>
        </w:trPr>
        <w:tc>
          <w:tcPr>
            <w:tcW w:w="567" w:type="dxa"/>
            <w:shd w:val="clear" w:color="auto" w:fill="auto"/>
          </w:tcPr>
          <w:p w:rsidR="0032400B" w:rsidRPr="00C92A38" w:rsidP="0032400B">
            <w:pPr>
              <w:rPr>
                <w:color w:val="000000" w:themeColor="text1"/>
                <w:sz w:val="24"/>
                <w:szCs w:val="24"/>
              </w:rPr>
            </w:pPr>
            <w:r>
              <w:rPr>
                <w:color w:val="000000" w:themeColor="text1"/>
                <w:sz w:val="24"/>
                <w:szCs w:val="24"/>
              </w:rPr>
              <w:t>2.</w:t>
            </w:r>
          </w:p>
        </w:tc>
        <w:tc>
          <w:tcPr>
            <w:tcW w:w="1701" w:type="dxa"/>
            <w:shd w:val="clear" w:color="auto" w:fill="auto"/>
          </w:tcPr>
          <w:p w:rsidR="005470A5" w:rsidRPr="005470A5" w:rsidP="005470A5">
            <w:pPr>
              <w:rPr>
                <w:rFonts w:ascii="Calibri" w:hAnsi="Calibri"/>
                <w:bCs/>
                <w:color w:val="000000"/>
                <w:sz w:val="24"/>
                <w:szCs w:val="24"/>
              </w:rPr>
            </w:pPr>
            <w:r w:rsidRPr="005470A5">
              <w:rPr>
                <w:rFonts w:ascii="Calibri" w:hAnsi="Calibri"/>
                <w:bCs/>
                <w:color w:val="000000"/>
                <w:sz w:val="24"/>
                <w:szCs w:val="24"/>
              </w:rPr>
              <w:t>A681 Newchurch Road, Stacksteads</w:t>
            </w:r>
          </w:p>
          <w:p w:rsidR="0032400B" w:rsidRPr="00C92A38" w:rsidP="0032400B">
            <w:pPr>
              <w:rPr>
                <w:color w:val="000000" w:themeColor="text1"/>
                <w:sz w:val="24"/>
                <w:szCs w:val="24"/>
              </w:rPr>
            </w:pPr>
          </w:p>
        </w:tc>
        <w:tc>
          <w:tcPr>
            <w:tcW w:w="1985" w:type="dxa"/>
            <w:shd w:val="clear" w:color="auto" w:fill="auto"/>
          </w:tcPr>
          <w:p w:rsidR="0032400B" w:rsidRPr="00C92A38" w:rsidP="0032400B">
            <w:pPr>
              <w:rPr>
                <w:color w:val="000000" w:themeColor="text1"/>
                <w:sz w:val="24"/>
                <w:szCs w:val="24"/>
              </w:rPr>
            </w:pPr>
            <w:r>
              <w:rPr>
                <w:color w:val="000000" w:themeColor="text1"/>
                <w:sz w:val="24"/>
                <w:szCs w:val="24"/>
              </w:rPr>
              <w:t xml:space="preserve">Rossendale East, Rossendale </w:t>
            </w:r>
          </w:p>
        </w:tc>
        <w:tc>
          <w:tcPr>
            <w:tcW w:w="12332" w:type="dxa"/>
            <w:shd w:val="clear" w:color="auto" w:fill="auto"/>
          </w:tcPr>
          <w:p w:rsidR="00F51047" w:rsidRPr="00125BE2" w:rsidP="00263A56">
            <w:pPr>
              <w:jc w:val="both"/>
              <w:rPr>
                <w:rFonts w:cs="Arial"/>
                <w:color w:val="C5218A"/>
                <w:sz w:val="24"/>
                <w:szCs w:val="24"/>
              </w:rPr>
            </w:pPr>
            <w:r w:rsidRPr="00125BE2">
              <w:rPr>
                <w:rFonts w:cs="Arial"/>
                <w:color w:val="000000" w:themeColor="text1"/>
                <w:sz w:val="24"/>
                <w:szCs w:val="24"/>
              </w:rPr>
              <w:t>This scheme was allocated £45,420 to provide signage and markings, and widen parts of the footway.  However due to the amount of consultation and redesign</w:t>
            </w:r>
            <w:r>
              <w:rPr>
                <w:rFonts w:cs="Arial"/>
                <w:color w:val="000000" w:themeColor="text1"/>
                <w:sz w:val="24"/>
                <w:szCs w:val="24"/>
              </w:rPr>
              <w:t xml:space="preserve"> needed to complete the scheme (</w:t>
            </w:r>
            <w:r w:rsidRPr="00125BE2">
              <w:rPr>
                <w:rFonts w:cs="Arial"/>
                <w:color w:val="000000" w:themeColor="text1"/>
                <w:sz w:val="24"/>
                <w:szCs w:val="24"/>
              </w:rPr>
              <w:t xml:space="preserve">which following consultation also included a new zebra crossing </w:t>
            </w:r>
            <w:r>
              <w:rPr>
                <w:rFonts w:cs="Arial"/>
                <w:color w:val="000000" w:themeColor="text1"/>
                <w:sz w:val="24"/>
                <w:szCs w:val="24"/>
              </w:rPr>
              <w:t xml:space="preserve">added in </w:t>
            </w:r>
            <w:r w:rsidRPr="00125BE2">
              <w:rPr>
                <w:rFonts w:cs="Arial"/>
                <w:color w:val="000000" w:themeColor="text1"/>
                <w:sz w:val="24"/>
                <w:szCs w:val="24"/>
              </w:rPr>
              <w:t>as part of the scheme), the cost of delivery has increased and now needs a further £16,000 to be able to complete the works.  As such it is proposed th</w:t>
            </w:r>
            <w:r w:rsidRPr="00125BE2">
              <w:rPr>
                <w:rFonts w:cs="Arial"/>
                <w:color w:val="000000" w:themeColor="text1"/>
                <w:sz w:val="24"/>
                <w:szCs w:val="24"/>
              </w:rPr>
              <w:t>at the additional monies are allotted from the unallocated budget in the 2014/15 road safety programme.</w:t>
            </w:r>
          </w:p>
        </w:tc>
        <w:tc>
          <w:tcPr>
            <w:tcW w:w="1418"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£45,420</w:t>
            </w:r>
          </w:p>
        </w:tc>
        <w:tc>
          <w:tcPr>
            <w:tcW w:w="1559"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£16,000</w:t>
            </w:r>
          </w:p>
        </w:tc>
        <w:tc>
          <w:tcPr>
            <w:tcW w:w="1134"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£61,420</w:t>
            </w:r>
          </w:p>
        </w:tc>
      </w:tr>
      <w:tr w:rsidTr="001A6022">
        <w:tblPrEx>
          <w:tblW w:w="22397" w:type="dxa"/>
          <w:tblInd w:w="-572" w:type="dxa"/>
          <w:tblLayout w:type="fixed"/>
          <w:tblLook w:val="04A0"/>
        </w:tblPrEx>
        <w:trPr>
          <w:trHeight w:val="2209"/>
        </w:trPr>
        <w:tc>
          <w:tcPr>
            <w:tcW w:w="567" w:type="dxa"/>
            <w:shd w:val="clear" w:color="auto" w:fill="auto"/>
          </w:tcPr>
          <w:p w:rsidR="00D80DB3" w:rsidP="0032400B">
            <w:pPr>
              <w:rPr>
                <w:color w:val="000000" w:themeColor="text1"/>
                <w:sz w:val="24"/>
                <w:szCs w:val="24"/>
              </w:rPr>
            </w:pPr>
            <w:r>
              <w:rPr>
                <w:color w:val="000000" w:themeColor="text1"/>
                <w:sz w:val="24"/>
                <w:szCs w:val="24"/>
              </w:rPr>
              <w:t>3.</w:t>
            </w:r>
          </w:p>
        </w:tc>
        <w:tc>
          <w:tcPr>
            <w:tcW w:w="1701" w:type="dxa"/>
            <w:shd w:val="clear" w:color="auto" w:fill="auto"/>
          </w:tcPr>
          <w:p w:rsidR="00D80DB3" w:rsidRPr="005470A5" w:rsidP="005470A5">
            <w:pPr>
              <w:rPr>
                <w:rFonts w:ascii="Calibri" w:hAnsi="Calibri"/>
                <w:bCs/>
                <w:color w:val="000000"/>
                <w:sz w:val="24"/>
                <w:szCs w:val="24"/>
              </w:rPr>
            </w:pPr>
            <w:r>
              <w:rPr>
                <w:rFonts w:ascii="Calibri" w:hAnsi="Calibri"/>
                <w:bCs/>
                <w:color w:val="000000"/>
                <w:sz w:val="24"/>
                <w:szCs w:val="24"/>
              </w:rPr>
              <w:t>Westgate/ Railway Road Roundabout, Skelmersdale</w:t>
            </w:r>
          </w:p>
        </w:tc>
        <w:tc>
          <w:tcPr>
            <w:tcW w:w="1985" w:type="dxa"/>
            <w:shd w:val="clear" w:color="auto" w:fill="auto"/>
          </w:tcPr>
          <w:p w:rsidR="00D80DB3" w:rsidP="0032400B">
            <w:pPr>
              <w:rPr>
                <w:color w:val="000000" w:themeColor="text1"/>
                <w:sz w:val="24"/>
                <w:szCs w:val="24"/>
              </w:rPr>
            </w:pPr>
            <w:r>
              <w:rPr>
                <w:color w:val="000000" w:themeColor="text1"/>
                <w:sz w:val="24"/>
                <w:szCs w:val="24"/>
              </w:rPr>
              <w:t>Skelmersdale West, West Lancashire</w:t>
            </w:r>
          </w:p>
        </w:tc>
        <w:tc>
          <w:tcPr>
            <w:tcW w:w="12332" w:type="dxa"/>
            <w:shd w:val="clear" w:color="auto" w:fill="auto"/>
          </w:tcPr>
          <w:p w:rsidR="006F252D" w:rsidRPr="00125BE2" w:rsidP="00D46C84">
            <w:pPr>
              <w:jc w:val="both"/>
              <w:rPr>
                <w:rFonts w:cs="Arial"/>
                <w:color w:val="000000" w:themeColor="text1"/>
                <w:sz w:val="24"/>
                <w:szCs w:val="24"/>
              </w:rPr>
            </w:pPr>
            <w:r>
              <w:rPr>
                <w:rFonts w:cs="Arial"/>
                <w:color w:val="000000" w:themeColor="text1"/>
                <w:sz w:val="24"/>
                <w:szCs w:val="24"/>
              </w:rPr>
              <w:t>This scheme was allocated £57,727 to</w:t>
            </w:r>
            <w:r>
              <w:rPr>
                <w:rFonts w:cs="Arial"/>
                <w:color w:val="000000" w:themeColor="text1"/>
                <w:sz w:val="24"/>
                <w:szCs w:val="24"/>
              </w:rPr>
              <w:t xml:space="preserve"> provide a combination of on/off-road cycle route linking the Gladdon Place Industrial Area to the residential area centred around Westgate. However the pre-construction road safety audit has raised a number of safety concerns about kerbing along the carri</w:t>
            </w:r>
            <w:r>
              <w:rPr>
                <w:rFonts w:cs="Arial"/>
                <w:color w:val="000000" w:themeColor="text1"/>
                <w:sz w:val="24"/>
                <w:szCs w:val="24"/>
              </w:rPr>
              <w:t>ageway. In order to overcome this issue a redesign has been completed which proposes the removal of the higher kerbs, and replacing them with the standard height kerbing.  If approved these additional works, materials and the necessary equipment will incre</w:t>
            </w:r>
            <w:r>
              <w:rPr>
                <w:rFonts w:cs="Arial"/>
                <w:color w:val="000000" w:themeColor="text1"/>
                <w:sz w:val="24"/>
                <w:szCs w:val="24"/>
              </w:rPr>
              <w:t>ase the scheme's cost by £13,730. It is proposed</w:t>
            </w:r>
            <w:r w:rsidRPr="00125BE2">
              <w:rPr>
                <w:rFonts w:cs="Arial"/>
                <w:color w:val="000000" w:themeColor="text1"/>
                <w:sz w:val="24"/>
                <w:szCs w:val="24"/>
              </w:rPr>
              <w:t xml:space="preserve"> that the</w:t>
            </w:r>
            <w:r>
              <w:rPr>
                <w:rFonts w:cs="Arial"/>
                <w:color w:val="000000" w:themeColor="text1"/>
                <w:sz w:val="24"/>
                <w:szCs w:val="24"/>
              </w:rPr>
              <w:t>se</w:t>
            </w:r>
            <w:r w:rsidRPr="00125BE2">
              <w:rPr>
                <w:rFonts w:cs="Arial"/>
                <w:color w:val="000000" w:themeColor="text1"/>
                <w:sz w:val="24"/>
                <w:szCs w:val="24"/>
              </w:rPr>
              <w:t xml:space="preserve"> additional monies are allotted from the unallocated budget in the 2014/15 road safety programme.</w:t>
            </w:r>
          </w:p>
        </w:tc>
        <w:tc>
          <w:tcPr>
            <w:tcW w:w="1418" w:type="dxa"/>
            <w:shd w:val="clear" w:color="auto" w:fill="auto"/>
            <w:vAlign w:val="center"/>
          </w:tcPr>
          <w:p w:rsidR="00D80DB3" w:rsidP="0032400B">
            <w:pPr>
              <w:jc w:val="center"/>
              <w:rPr>
                <w:color w:val="000000" w:themeColor="text1"/>
                <w:sz w:val="24"/>
                <w:szCs w:val="24"/>
              </w:rPr>
            </w:pPr>
            <w:r>
              <w:rPr>
                <w:color w:val="000000" w:themeColor="text1"/>
                <w:sz w:val="24"/>
                <w:szCs w:val="24"/>
              </w:rPr>
              <w:t>£57,727</w:t>
            </w:r>
          </w:p>
        </w:tc>
        <w:tc>
          <w:tcPr>
            <w:tcW w:w="1559" w:type="dxa"/>
            <w:shd w:val="clear" w:color="auto" w:fill="auto"/>
            <w:vAlign w:val="center"/>
          </w:tcPr>
          <w:p w:rsidR="00D80DB3" w:rsidP="0032400B">
            <w:pPr>
              <w:jc w:val="center"/>
              <w:rPr>
                <w:color w:val="000000" w:themeColor="text1"/>
                <w:sz w:val="24"/>
                <w:szCs w:val="24"/>
              </w:rPr>
            </w:pPr>
            <w:r>
              <w:rPr>
                <w:color w:val="000000" w:themeColor="text1"/>
                <w:sz w:val="24"/>
                <w:szCs w:val="24"/>
              </w:rPr>
              <w:t>£13,730</w:t>
            </w:r>
          </w:p>
        </w:tc>
        <w:tc>
          <w:tcPr>
            <w:tcW w:w="1134" w:type="dxa"/>
            <w:shd w:val="clear" w:color="auto" w:fill="auto"/>
            <w:vAlign w:val="center"/>
          </w:tcPr>
          <w:p w:rsidR="00D80DB3" w:rsidP="0032400B">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D80DB3" w:rsidP="0032400B">
            <w:pPr>
              <w:jc w:val="center"/>
              <w:rPr>
                <w:color w:val="000000" w:themeColor="text1"/>
                <w:sz w:val="24"/>
                <w:szCs w:val="24"/>
              </w:rPr>
            </w:pPr>
            <w:r>
              <w:rPr>
                <w:color w:val="000000" w:themeColor="text1"/>
                <w:sz w:val="24"/>
                <w:szCs w:val="24"/>
              </w:rPr>
              <w:t>£71,457</w:t>
            </w:r>
          </w:p>
        </w:tc>
      </w:tr>
      <w:tr w:rsidTr="00EA456D">
        <w:tblPrEx>
          <w:tblW w:w="22397" w:type="dxa"/>
          <w:tblInd w:w="-572" w:type="dxa"/>
          <w:tblLayout w:type="fixed"/>
          <w:tblLook w:val="04A0"/>
        </w:tblPrEx>
        <w:trPr>
          <w:trHeight w:val="452"/>
        </w:trPr>
        <w:tc>
          <w:tcPr>
            <w:tcW w:w="567" w:type="dxa"/>
            <w:shd w:val="clear" w:color="auto" w:fill="auto"/>
          </w:tcPr>
          <w:p w:rsidR="0032400B" w:rsidRPr="00C92A38" w:rsidP="0032400B">
            <w:pPr>
              <w:rPr>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c>
          <w:tcPr>
            <w:tcW w:w="1985" w:type="dxa"/>
            <w:shd w:val="clear" w:color="auto" w:fill="auto"/>
            <w:vAlign w:val="center"/>
          </w:tcPr>
          <w:p w:rsidR="0032400B" w:rsidRPr="00C92A38" w:rsidP="0032400B">
            <w:pPr>
              <w:jc w:val="center"/>
              <w:rPr>
                <w:b/>
                <w:color w:val="000000" w:themeColor="text1"/>
                <w:sz w:val="24"/>
                <w:szCs w:val="24"/>
              </w:rPr>
            </w:pPr>
          </w:p>
        </w:tc>
        <w:tc>
          <w:tcPr>
            <w:tcW w:w="12332" w:type="dxa"/>
            <w:shd w:val="clear" w:color="auto" w:fill="auto"/>
            <w:vAlign w:val="center"/>
          </w:tcPr>
          <w:p w:rsidR="0032400B" w:rsidRPr="00C92A38" w:rsidP="0032400B">
            <w:pPr>
              <w:jc w:val="right"/>
              <w:rPr>
                <w:b/>
                <w:color w:val="000000" w:themeColor="text1"/>
                <w:sz w:val="24"/>
                <w:szCs w:val="24"/>
              </w:rPr>
            </w:pPr>
            <w:r w:rsidRPr="00C92A38">
              <w:rPr>
                <w:b/>
                <w:color w:val="000000" w:themeColor="text1"/>
                <w:sz w:val="24"/>
                <w:szCs w:val="24"/>
              </w:rPr>
              <w:t xml:space="preserve">Revised </w:t>
            </w:r>
            <w:r>
              <w:rPr>
                <w:b/>
                <w:color w:val="000000" w:themeColor="text1"/>
                <w:sz w:val="24"/>
                <w:szCs w:val="24"/>
              </w:rPr>
              <w:t>2013/14</w:t>
            </w:r>
            <w:r w:rsidRPr="00C92A38">
              <w:rPr>
                <w:b/>
                <w:color w:val="000000" w:themeColor="text1"/>
                <w:sz w:val="24"/>
                <w:szCs w:val="24"/>
              </w:rPr>
              <w:t xml:space="preserve"> New Start Road Safety</w:t>
            </w:r>
          </w:p>
        </w:tc>
        <w:tc>
          <w:tcPr>
            <w:tcW w:w="1418" w:type="dxa"/>
            <w:shd w:val="clear" w:color="auto" w:fill="auto"/>
            <w:vAlign w:val="center"/>
          </w:tcPr>
          <w:p w:rsidR="0032400B" w:rsidRPr="00A426A2" w:rsidP="00D80DB3">
            <w:pPr>
              <w:jc w:val="center"/>
              <w:rPr>
                <w:b/>
                <w:color w:val="000000" w:themeColor="text1"/>
                <w:sz w:val="24"/>
                <w:szCs w:val="24"/>
              </w:rPr>
            </w:pPr>
            <w:r>
              <w:rPr>
                <w:b/>
                <w:color w:val="000000" w:themeColor="text1"/>
                <w:sz w:val="24"/>
                <w:szCs w:val="24"/>
              </w:rPr>
              <w:t>£103,147</w:t>
            </w:r>
          </w:p>
        </w:tc>
        <w:tc>
          <w:tcPr>
            <w:tcW w:w="1559" w:type="dxa"/>
            <w:shd w:val="clear" w:color="auto" w:fill="auto"/>
            <w:vAlign w:val="center"/>
          </w:tcPr>
          <w:p w:rsidR="0032400B" w:rsidRPr="00A426A2" w:rsidP="00D80DB3">
            <w:pPr>
              <w:jc w:val="center"/>
              <w:rPr>
                <w:b/>
                <w:color w:val="000000" w:themeColor="text1"/>
                <w:sz w:val="24"/>
                <w:szCs w:val="24"/>
              </w:rPr>
            </w:pPr>
            <w:r>
              <w:rPr>
                <w:b/>
                <w:color w:val="000000" w:themeColor="text1"/>
                <w:sz w:val="24"/>
                <w:szCs w:val="24"/>
              </w:rPr>
              <w:t>£29,730</w:t>
            </w:r>
          </w:p>
        </w:tc>
        <w:tc>
          <w:tcPr>
            <w:tcW w:w="1134" w:type="dxa"/>
            <w:shd w:val="clear" w:color="auto" w:fill="auto"/>
            <w:vAlign w:val="center"/>
          </w:tcPr>
          <w:p w:rsidR="0032400B" w:rsidRPr="00A426A2" w:rsidP="0032400B">
            <w:pPr>
              <w:jc w:val="center"/>
              <w:rPr>
                <w:b/>
                <w:color w:val="000000" w:themeColor="text1"/>
                <w:sz w:val="24"/>
                <w:szCs w:val="24"/>
              </w:rPr>
            </w:pPr>
            <w:r>
              <w:rPr>
                <w:b/>
                <w:color w:val="000000" w:themeColor="text1"/>
                <w:sz w:val="24"/>
                <w:szCs w:val="24"/>
              </w:rPr>
              <w:t>£0</w:t>
            </w:r>
          </w:p>
        </w:tc>
        <w:tc>
          <w:tcPr>
            <w:tcW w:w="1701" w:type="dxa"/>
            <w:shd w:val="clear" w:color="auto" w:fill="auto"/>
            <w:vAlign w:val="center"/>
          </w:tcPr>
          <w:p w:rsidR="0032400B" w:rsidRPr="00A426A2" w:rsidP="00D80DB3">
            <w:pPr>
              <w:jc w:val="center"/>
              <w:rPr>
                <w:b/>
                <w:color w:val="000000" w:themeColor="text1"/>
                <w:sz w:val="24"/>
                <w:szCs w:val="24"/>
              </w:rPr>
            </w:pPr>
            <w:r>
              <w:rPr>
                <w:b/>
                <w:color w:val="000000" w:themeColor="text1"/>
                <w:sz w:val="24"/>
                <w:szCs w:val="24"/>
              </w:rPr>
              <w:t>£132,877</w:t>
            </w:r>
          </w:p>
        </w:tc>
      </w:tr>
      <w:tr w:rsidTr="008C5E1A">
        <w:tblPrEx>
          <w:tblW w:w="22397" w:type="dxa"/>
          <w:tblInd w:w="-572" w:type="dxa"/>
          <w:tblLayout w:type="fixed"/>
          <w:tblLook w:val="04A0"/>
        </w:tblPrEx>
        <w:trPr>
          <w:trHeight w:val="422"/>
        </w:trPr>
        <w:tc>
          <w:tcPr>
            <w:tcW w:w="567" w:type="dxa"/>
          </w:tcPr>
          <w:p w:rsidR="0032400B" w:rsidRPr="00C92A38" w:rsidP="0032400B">
            <w:pPr>
              <w:rPr>
                <w:rFonts w:cs="Arial"/>
                <w:color w:val="000000" w:themeColor="text1"/>
                <w:sz w:val="24"/>
                <w:szCs w:val="24"/>
              </w:rPr>
            </w:pPr>
          </w:p>
        </w:tc>
        <w:tc>
          <w:tcPr>
            <w:tcW w:w="1701" w:type="dxa"/>
          </w:tcPr>
          <w:p w:rsidR="0032400B" w:rsidRPr="00C92A38" w:rsidP="0032400B">
            <w:pPr>
              <w:rPr>
                <w:rFonts w:cs="Arial"/>
                <w:color w:val="000000" w:themeColor="text1"/>
                <w:sz w:val="24"/>
                <w:szCs w:val="24"/>
              </w:rPr>
            </w:pPr>
          </w:p>
        </w:tc>
        <w:tc>
          <w:tcPr>
            <w:tcW w:w="1985" w:type="dxa"/>
          </w:tcPr>
          <w:p w:rsidR="0032400B" w:rsidRPr="00C92A38" w:rsidP="0032400B">
            <w:pPr>
              <w:rPr>
                <w:color w:val="000000" w:themeColor="text1"/>
                <w:sz w:val="24"/>
                <w:szCs w:val="24"/>
              </w:rPr>
            </w:pPr>
          </w:p>
        </w:tc>
        <w:tc>
          <w:tcPr>
            <w:tcW w:w="18144" w:type="dxa"/>
            <w:gridSpan w:val="5"/>
            <w:vAlign w:val="center"/>
          </w:tcPr>
          <w:p w:rsidR="0032400B" w:rsidRPr="00C92A38" w:rsidP="0032400B">
            <w:pPr>
              <w:rPr>
                <w:b/>
                <w:color w:val="000000" w:themeColor="text1"/>
                <w:sz w:val="24"/>
                <w:szCs w:val="24"/>
              </w:rPr>
            </w:pPr>
            <w:r>
              <w:rPr>
                <w:b/>
                <w:color w:val="000000" w:themeColor="text1"/>
                <w:sz w:val="24"/>
                <w:szCs w:val="24"/>
              </w:rPr>
              <w:t>2014/15</w:t>
            </w:r>
            <w:r w:rsidRPr="00C92A38">
              <w:rPr>
                <w:b/>
                <w:color w:val="000000" w:themeColor="text1"/>
                <w:sz w:val="24"/>
                <w:szCs w:val="24"/>
              </w:rPr>
              <w:t xml:space="preserve"> New Start Road Safety</w:t>
            </w:r>
          </w:p>
        </w:tc>
      </w:tr>
      <w:tr w:rsidTr="00992DEC">
        <w:tblPrEx>
          <w:tblW w:w="22397" w:type="dxa"/>
          <w:tblInd w:w="-572" w:type="dxa"/>
          <w:tblLayout w:type="fixed"/>
          <w:tblLook w:val="04A0"/>
        </w:tblPrEx>
        <w:trPr>
          <w:trHeight w:val="1815"/>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4.</w:t>
            </w:r>
          </w:p>
        </w:tc>
        <w:tc>
          <w:tcPr>
            <w:tcW w:w="1701" w:type="dxa"/>
          </w:tcPr>
          <w:p w:rsidR="0032400B" w:rsidRPr="00D57255" w:rsidP="0032400B">
            <w:pPr>
              <w:rPr>
                <w:rFonts w:cs="Arial"/>
                <w:color w:val="000000" w:themeColor="text1"/>
                <w:sz w:val="24"/>
                <w:szCs w:val="24"/>
              </w:rPr>
            </w:pPr>
            <w:r>
              <w:rPr>
                <w:rFonts w:cs="Arial"/>
                <w:color w:val="000000" w:themeColor="text1"/>
                <w:sz w:val="24"/>
                <w:szCs w:val="24"/>
              </w:rPr>
              <w:t>Dawson Lane</w:t>
            </w:r>
          </w:p>
        </w:tc>
        <w:tc>
          <w:tcPr>
            <w:tcW w:w="1985" w:type="dxa"/>
          </w:tcPr>
          <w:p w:rsidR="0032400B" w:rsidRPr="004829CA" w:rsidP="0032400B">
            <w:pPr>
              <w:rPr>
                <w:color w:val="000000" w:themeColor="text1"/>
                <w:sz w:val="24"/>
                <w:szCs w:val="24"/>
              </w:rPr>
            </w:pPr>
            <w:r>
              <w:rPr>
                <w:color w:val="000000" w:themeColor="text1"/>
                <w:sz w:val="24"/>
                <w:szCs w:val="24"/>
              </w:rPr>
              <w:t>Chorley North, Chorley</w:t>
            </w:r>
          </w:p>
        </w:tc>
        <w:tc>
          <w:tcPr>
            <w:tcW w:w="12332" w:type="dxa"/>
          </w:tcPr>
          <w:p w:rsidR="006577D1" w:rsidP="00853BE9">
            <w:pPr>
              <w:jc w:val="both"/>
              <w:rPr>
                <w:color w:val="000000" w:themeColor="text1"/>
                <w:sz w:val="24"/>
                <w:szCs w:val="24"/>
              </w:rPr>
            </w:pPr>
            <w:r>
              <w:rPr>
                <w:color w:val="000000" w:themeColor="text1"/>
                <w:sz w:val="24"/>
                <w:szCs w:val="24"/>
              </w:rPr>
              <w:t xml:space="preserve">This scheme was allocated £58,787 to </w:t>
            </w:r>
            <w:r w:rsidR="00853BE9">
              <w:rPr>
                <w:color w:val="000000" w:themeColor="text1"/>
                <w:sz w:val="24"/>
                <w:szCs w:val="24"/>
              </w:rPr>
              <w:t>construct</w:t>
            </w:r>
            <w:r>
              <w:rPr>
                <w:color w:val="000000" w:themeColor="text1"/>
                <w:sz w:val="24"/>
                <w:szCs w:val="24"/>
              </w:rPr>
              <w:t xml:space="preserve"> a cycle track on Dawson Lane in Buckshaw Village.  However due to difficult conditions on site and issues with its construction </w:t>
            </w:r>
            <w:r>
              <w:rPr>
                <w:color w:val="000000" w:themeColor="text1"/>
                <w:sz w:val="24"/>
                <w:szCs w:val="24"/>
              </w:rPr>
              <w:t>additional materials were needed which were not included in the original estimate. Furthermore additional drainage works are now required due to water pooling on some areas of the cycle track. These need to be rectified as soon as possible as it could caus</w:t>
            </w:r>
            <w:r>
              <w:rPr>
                <w:color w:val="000000" w:themeColor="text1"/>
                <w:sz w:val="24"/>
                <w:szCs w:val="24"/>
              </w:rPr>
              <w:t>e safety issues in wet and icy conditions. As such it is proposed that the additional £16,239 monies required are allocated from the remaining 2014/15 unallocated budget in the programme to allow these extra safety works to be completed.</w:t>
            </w:r>
          </w:p>
          <w:p w:rsidR="00FA2419" w:rsidRPr="00043E05" w:rsidP="00853BE9">
            <w:pPr>
              <w:jc w:val="both"/>
              <w:rPr>
                <w:color w:val="000000" w:themeColor="text1"/>
                <w:sz w:val="24"/>
                <w:szCs w:val="24"/>
              </w:rPr>
            </w:pPr>
          </w:p>
        </w:tc>
        <w:tc>
          <w:tcPr>
            <w:tcW w:w="1418" w:type="dxa"/>
            <w:vAlign w:val="center"/>
          </w:tcPr>
          <w:p w:rsidR="0032400B" w:rsidRPr="00131B8C" w:rsidP="0032400B">
            <w:pPr>
              <w:jc w:val="center"/>
              <w:rPr>
                <w:color w:val="000000" w:themeColor="text1"/>
                <w:sz w:val="24"/>
                <w:szCs w:val="24"/>
              </w:rPr>
            </w:pPr>
            <w:r>
              <w:rPr>
                <w:color w:val="000000" w:themeColor="text1"/>
                <w:sz w:val="24"/>
                <w:szCs w:val="24"/>
              </w:rPr>
              <w:t>£</w:t>
            </w:r>
            <w:r>
              <w:rPr>
                <w:color w:val="000000" w:themeColor="text1"/>
                <w:sz w:val="24"/>
                <w:szCs w:val="24"/>
              </w:rPr>
              <w:t>58,787</w:t>
            </w:r>
          </w:p>
        </w:tc>
        <w:tc>
          <w:tcPr>
            <w:tcW w:w="1559" w:type="dxa"/>
            <w:vAlign w:val="center"/>
          </w:tcPr>
          <w:p w:rsidR="0032400B" w:rsidRPr="00131B8C" w:rsidP="0032400B">
            <w:pPr>
              <w:jc w:val="center"/>
              <w:rPr>
                <w:color w:val="000000" w:themeColor="text1"/>
                <w:sz w:val="24"/>
                <w:szCs w:val="24"/>
              </w:rPr>
            </w:pPr>
            <w:r>
              <w:rPr>
                <w:color w:val="000000" w:themeColor="text1"/>
                <w:sz w:val="24"/>
                <w:szCs w:val="24"/>
              </w:rPr>
              <w:t>£16,239</w:t>
            </w:r>
          </w:p>
        </w:tc>
        <w:tc>
          <w:tcPr>
            <w:tcW w:w="1134"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701" w:type="dxa"/>
            <w:vAlign w:val="center"/>
          </w:tcPr>
          <w:p w:rsidR="0032400B" w:rsidRPr="00131B8C" w:rsidP="0032400B">
            <w:pPr>
              <w:jc w:val="center"/>
              <w:rPr>
                <w:color w:val="000000" w:themeColor="text1"/>
                <w:sz w:val="24"/>
                <w:szCs w:val="24"/>
              </w:rPr>
            </w:pPr>
            <w:r>
              <w:rPr>
                <w:color w:val="000000" w:themeColor="text1"/>
                <w:sz w:val="24"/>
                <w:szCs w:val="24"/>
              </w:rPr>
              <w:t>£75,026</w:t>
            </w:r>
          </w:p>
        </w:tc>
      </w:tr>
      <w:tr w:rsidTr="00B76F7E">
        <w:tblPrEx>
          <w:tblW w:w="22397" w:type="dxa"/>
          <w:tblInd w:w="-572" w:type="dxa"/>
          <w:tblLayout w:type="fixed"/>
          <w:tblLook w:val="04A0"/>
        </w:tblPrEx>
        <w:trPr>
          <w:trHeight w:val="462"/>
        </w:trPr>
        <w:tc>
          <w:tcPr>
            <w:tcW w:w="567" w:type="dxa"/>
          </w:tcPr>
          <w:p w:rsidR="000C3445" w:rsidRPr="00C92A38" w:rsidP="000C3445">
            <w:pPr>
              <w:rPr>
                <w:rFonts w:cs="Arial"/>
                <w:color w:val="000000" w:themeColor="text1"/>
                <w:sz w:val="24"/>
                <w:szCs w:val="24"/>
              </w:rPr>
            </w:pPr>
          </w:p>
        </w:tc>
        <w:tc>
          <w:tcPr>
            <w:tcW w:w="1701" w:type="dxa"/>
          </w:tcPr>
          <w:p w:rsidR="000C3445" w:rsidRPr="00C92A38" w:rsidP="000C3445">
            <w:pPr>
              <w:rPr>
                <w:rFonts w:cs="Arial"/>
                <w:color w:val="000000" w:themeColor="text1"/>
                <w:sz w:val="24"/>
                <w:szCs w:val="24"/>
              </w:rPr>
            </w:pPr>
          </w:p>
        </w:tc>
        <w:tc>
          <w:tcPr>
            <w:tcW w:w="1985" w:type="dxa"/>
          </w:tcPr>
          <w:p w:rsidR="000C3445" w:rsidRPr="00C92A38" w:rsidP="000C3445">
            <w:pPr>
              <w:rPr>
                <w:color w:val="000000" w:themeColor="text1"/>
                <w:sz w:val="24"/>
                <w:szCs w:val="24"/>
              </w:rPr>
            </w:pPr>
          </w:p>
        </w:tc>
        <w:tc>
          <w:tcPr>
            <w:tcW w:w="12332" w:type="dxa"/>
            <w:vAlign w:val="center"/>
          </w:tcPr>
          <w:p w:rsidR="000C3445" w:rsidRPr="00C92A38" w:rsidP="000C3445">
            <w:pPr>
              <w:jc w:val="right"/>
              <w:rPr>
                <w:b/>
                <w:color w:val="000000" w:themeColor="text1"/>
                <w:sz w:val="24"/>
                <w:szCs w:val="24"/>
              </w:rPr>
            </w:pPr>
            <w:r>
              <w:rPr>
                <w:b/>
                <w:color w:val="000000" w:themeColor="text1"/>
                <w:sz w:val="24"/>
                <w:szCs w:val="24"/>
              </w:rPr>
              <w:t>Revised 2014/15</w:t>
            </w:r>
            <w:r w:rsidRPr="00C92A38">
              <w:rPr>
                <w:b/>
                <w:color w:val="000000" w:themeColor="text1"/>
                <w:sz w:val="24"/>
                <w:szCs w:val="24"/>
              </w:rPr>
              <w:t xml:space="preserve"> New Start Road Safety</w:t>
            </w:r>
          </w:p>
        </w:tc>
        <w:tc>
          <w:tcPr>
            <w:tcW w:w="1418" w:type="dxa"/>
            <w:vAlign w:val="center"/>
          </w:tcPr>
          <w:p w:rsidR="000C3445" w:rsidRPr="003B6B85" w:rsidP="000C3445">
            <w:pPr>
              <w:jc w:val="center"/>
              <w:rPr>
                <w:b/>
                <w:color w:val="000000" w:themeColor="text1"/>
                <w:sz w:val="24"/>
                <w:szCs w:val="24"/>
              </w:rPr>
            </w:pPr>
            <w:r w:rsidRPr="003B6B85">
              <w:rPr>
                <w:b/>
                <w:color w:val="000000" w:themeColor="text1"/>
                <w:sz w:val="24"/>
                <w:szCs w:val="24"/>
              </w:rPr>
              <w:t>£58,787</w:t>
            </w:r>
          </w:p>
        </w:tc>
        <w:tc>
          <w:tcPr>
            <w:tcW w:w="1559" w:type="dxa"/>
            <w:vAlign w:val="center"/>
          </w:tcPr>
          <w:p w:rsidR="000C3445" w:rsidRPr="003B6B85" w:rsidP="000C3445">
            <w:pPr>
              <w:jc w:val="center"/>
              <w:rPr>
                <w:b/>
                <w:color w:val="000000" w:themeColor="text1"/>
                <w:sz w:val="24"/>
                <w:szCs w:val="24"/>
              </w:rPr>
            </w:pPr>
            <w:r w:rsidRPr="003B6B85">
              <w:rPr>
                <w:b/>
                <w:color w:val="000000" w:themeColor="text1"/>
                <w:sz w:val="24"/>
                <w:szCs w:val="24"/>
              </w:rPr>
              <w:t>£16,239</w:t>
            </w:r>
          </w:p>
        </w:tc>
        <w:tc>
          <w:tcPr>
            <w:tcW w:w="1134" w:type="dxa"/>
            <w:vAlign w:val="center"/>
          </w:tcPr>
          <w:p w:rsidR="000C3445" w:rsidRPr="003B6B85" w:rsidP="000C3445">
            <w:pPr>
              <w:jc w:val="center"/>
              <w:rPr>
                <w:b/>
                <w:color w:val="000000" w:themeColor="text1"/>
                <w:sz w:val="24"/>
                <w:szCs w:val="24"/>
              </w:rPr>
            </w:pPr>
            <w:r w:rsidRPr="003B6B85">
              <w:rPr>
                <w:b/>
                <w:color w:val="000000" w:themeColor="text1"/>
                <w:sz w:val="24"/>
                <w:szCs w:val="24"/>
              </w:rPr>
              <w:t>£0</w:t>
            </w:r>
          </w:p>
        </w:tc>
        <w:tc>
          <w:tcPr>
            <w:tcW w:w="1701" w:type="dxa"/>
            <w:vAlign w:val="center"/>
          </w:tcPr>
          <w:p w:rsidR="000C3445" w:rsidRPr="003B6B85" w:rsidP="000C3445">
            <w:pPr>
              <w:jc w:val="center"/>
              <w:rPr>
                <w:b/>
                <w:color w:val="000000" w:themeColor="text1"/>
                <w:sz w:val="24"/>
                <w:szCs w:val="24"/>
              </w:rPr>
            </w:pPr>
            <w:r>
              <w:rPr>
                <w:b/>
                <w:color w:val="000000" w:themeColor="text1"/>
                <w:sz w:val="24"/>
                <w:szCs w:val="24"/>
              </w:rPr>
              <w:t>£75</w:t>
            </w:r>
            <w:r w:rsidRPr="003B6B85">
              <w:rPr>
                <w:b/>
                <w:color w:val="000000" w:themeColor="text1"/>
                <w:sz w:val="24"/>
                <w:szCs w:val="24"/>
              </w:rPr>
              <w:t>,026</w:t>
            </w:r>
          </w:p>
        </w:tc>
      </w:tr>
      <w:tr w:rsidTr="00B76F7E">
        <w:tblPrEx>
          <w:tblW w:w="22397" w:type="dxa"/>
          <w:tblInd w:w="-572" w:type="dxa"/>
          <w:tblLayout w:type="fixed"/>
          <w:tblLook w:val="04A0"/>
        </w:tblPrEx>
        <w:trPr>
          <w:trHeight w:val="462"/>
        </w:trPr>
        <w:tc>
          <w:tcPr>
            <w:tcW w:w="567" w:type="dxa"/>
          </w:tcPr>
          <w:p w:rsidR="000C3445" w:rsidRPr="00C92A38" w:rsidP="000C3445">
            <w:pPr>
              <w:rPr>
                <w:rFonts w:cs="Arial"/>
                <w:color w:val="000000" w:themeColor="text1"/>
                <w:sz w:val="24"/>
                <w:szCs w:val="24"/>
              </w:rPr>
            </w:pPr>
          </w:p>
        </w:tc>
        <w:tc>
          <w:tcPr>
            <w:tcW w:w="1701" w:type="dxa"/>
          </w:tcPr>
          <w:p w:rsidR="000C3445" w:rsidRPr="00C92A38" w:rsidP="000C3445">
            <w:pPr>
              <w:rPr>
                <w:rFonts w:cs="Arial"/>
                <w:color w:val="000000" w:themeColor="text1"/>
                <w:sz w:val="24"/>
                <w:szCs w:val="24"/>
              </w:rPr>
            </w:pPr>
          </w:p>
        </w:tc>
        <w:tc>
          <w:tcPr>
            <w:tcW w:w="1985" w:type="dxa"/>
          </w:tcPr>
          <w:p w:rsidR="000C3445" w:rsidRPr="00C92A38" w:rsidP="000C3445">
            <w:pPr>
              <w:rPr>
                <w:color w:val="000000" w:themeColor="text1"/>
                <w:sz w:val="24"/>
                <w:szCs w:val="24"/>
              </w:rPr>
            </w:pPr>
          </w:p>
        </w:tc>
        <w:tc>
          <w:tcPr>
            <w:tcW w:w="12332" w:type="dxa"/>
            <w:vAlign w:val="center"/>
          </w:tcPr>
          <w:p w:rsidR="000C3445" w:rsidP="00E616F6">
            <w:pPr>
              <w:rPr>
                <w:b/>
                <w:color w:val="000000" w:themeColor="text1"/>
                <w:sz w:val="24"/>
                <w:szCs w:val="24"/>
              </w:rPr>
            </w:pPr>
            <w:r>
              <w:rPr>
                <w:b/>
                <w:color w:val="000000" w:themeColor="text1"/>
                <w:sz w:val="24"/>
                <w:szCs w:val="24"/>
              </w:rPr>
              <w:t>2015/16</w:t>
            </w:r>
            <w:r w:rsidRPr="00C92A38">
              <w:rPr>
                <w:b/>
                <w:color w:val="000000" w:themeColor="text1"/>
                <w:sz w:val="24"/>
                <w:szCs w:val="24"/>
              </w:rPr>
              <w:t xml:space="preserve"> New Start Road Safety</w:t>
            </w:r>
          </w:p>
        </w:tc>
        <w:tc>
          <w:tcPr>
            <w:tcW w:w="1418" w:type="dxa"/>
            <w:vAlign w:val="center"/>
          </w:tcPr>
          <w:p w:rsidR="000C3445" w:rsidP="000C3445">
            <w:pPr>
              <w:jc w:val="center"/>
              <w:rPr>
                <w:color w:val="000000" w:themeColor="text1"/>
                <w:sz w:val="24"/>
                <w:szCs w:val="24"/>
              </w:rPr>
            </w:pPr>
          </w:p>
        </w:tc>
        <w:tc>
          <w:tcPr>
            <w:tcW w:w="1559" w:type="dxa"/>
            <w:vAlign w:val="center"/>
          </w:tcPr>
          <w:p w:rsidR="000C3445" w:rsidP="000C3445">
            <w:pPr>
              <w:jc w:val="center"/>
              <w:rPr>
                <w:color w:val="000000" w:themeColor="text1"/>
                <w:sz w:val="24"/>
                <w:szCs w:val="24"/>
              </w:rPr>
            </w:pPr>
          </w:p>
        </w:tc>
        <w:tc>
          <w:tcPr>
            <w:tcW w:w="1134" w:type="dxa"/>
            <w:vAlign w:val="center"/>
          </w:tcPr>
          <w:p w:rsidR="000C3445" w:rsidP="000C3445">
            <w:pPr>
              <w:jc w:val="center"/>
              <w:rPr>
                <w:color w:val="000000" w:themeColor="text1"/>
                <w:sz w:val="24"/>
                <w:szCs w:val="24"/>
              </w:rPr>
            </w:pPr>
          </w:p>
        </w:tc>
        <w:tc>
          <w:tcPr>
            <w:tcW w:w="1701" w:type="dxa"/>
            <w:vAlign w:val="center"/>
          </w:tcPr>
          <w:p w:rsidR="000C3445" w:rsidP="000C3445">
            <w:pPr>
              <w:jc w:val="center"/>
              <w:rPr>
                <w:color w:val="000000" w:themeColor="text1"/>
                <w:sz w:val="24"/>
                <w:szCs w:val="24"/>
              </w:rPr>
            </w:pPr>
          </w:p>
        </w:tc>
      </w:tr>
      <w:tr w:rsidTr="00B76F7E">
        <w:tblPrEx>
          <w:tblW w:w="22397" w:type="dxa"/>
          <w:tblInd w:w="-572" w:type="dxa"/>
          <w:tblLayout w:type="fixed"/>
          <w:tblLook w:val="04A0"/>
        </w:tblPrEx>
        <w:trPr>
          <w:trHeight w:val="462"/>
        </w:trPr>
        <w:tc>
          <w:tcPr>
            <w:tcW w:w="567" w:type="dxa"/>
          </w:tcPr>
          <w:p w:rsidR="000C3445" w:rsidRPr="00675D44" w:rsidP="000C3445">
            <w:pPr>
              <w:rPr>
                <w:rFonts w:cs="Arial"/>
                <w:color w:val="000000" w:themeColor="text1"/>
                <w:sz w:val="24"/>
                <w:szCs w:val="24"/>
              </w:rPr>
            </w:pPr>
            <w:r w:rsidRPr="00675D44">
              <w:rPr>
                <w:rFonts w:cs="Arial"/>
                <w:color w:val="000000" w:themeColor="text1"/>
                <w:sz w:val="24"/>
                <w:szCs w:val="24"/>
              </w:rPr>
              <w:t>5.</w:t>
            </w:r>
          </w:p>
        </w:tc>
        <w:tc>
          <w:tcPr>
            <w:tcW w:w="1701" w:type="dxa"/>
          </w:tcPr>
          <w:p w:rsidR="000C3445" w:rsidRPr="00675D44" w:rsidP="000C3445">
            <w:pPr>
              <w:rPr>
                <w:rFonts w:cs="Arial"/>
                <w:color w:val="000000" w:themeColor="text1"/>
                <w:sz w:val="24"/>
                <w:szCs w:val="24"/>
              </w:rPr>
            </w:pPr>
            <w:r w:rsidRPr="00C5747D">
              <w:rPr>
                <w:rFonts w:cs="Arial"/>
                <w:color w:val="000000" w:themeColor="text1"/>
                <w:sz w:val="24"/>
                <w:szCs w:val="24"/>
              </w:rPr>
              <w:t>Carr Road</w:t>
            </w:r>
          </w:p>
        </w:tc>
        <w:tc>
          <w:tcPr>
            <w:tcW w:w="1985" w:type="dxa"/>
          </w:tcPr>
          <w:p w:rsidR="000C3445" w:rsidRPr="00675D44" w:rsidP="000C3445">
            <w:pPr>
              <w:rPr>
                <w:color w:val="000000" w:themeColor="text1"/>
                <w:sz w:val="24"/>
                <w:szCs w:val="24"/>
              </w:rPr>
            </w:pPr>
            <w:r w:rsidRPr="00675D44">
              <w:rPr>
                <w:color w:val="000000" w:themeColor="text1"/>
                <w:sz w:val="24"/>
                <w:szCs w:val="24"/>
              </w:rPr>
              <w:t>Brierfield and Nelson North, Pendle</w:t>
            </w:r>
          </w:p>
        </w:tc>
        <w:tc>
          <w:tcPr>
            <w:tcW w:w="12332" w:type="dxa"/>
            <w:vAlign w:val="center"/>
          </w:tcPr>
          <w:p w:rsidR="002F53F2" w:rsidRPr="00675D44" w:rsidP="006C1867">
            <w:pPr>
              <w:jc w:val="both"/>
              <w:rPr>
                <w:color w:val="000000" w:themeColor="text1"/>
                <w:sz w:val="24"/>
                <w:szCs w:val="24"/>
              </w:rPr>
            </w:pPr>
            <w:r w:rsidRPr="00675D44">
              <w:rPr>
                <w:color w:val="000000" w:themeColor="text1"/>
                <w:sz w:val="24"/>
                <w:szCs w:val="24"/>
              </w:rPr>
              <w:t>This scheme was allocated £50,160 to install a zebra crossing on Carr Road,</w:t>
            </w:r>
            <w:r w:rsidRPr="00675D44">
              <w:rPr>
                <w:color w:val="000000" w:themeColor="text1"/>
                <w:sz w:val="24"/>
                <w:szCs w:val="24"/>
              </w:rPr>
              <w:t xml:space="preserve"> following which detailed designs were completed and the new crossing was advertised with the associated consultation in December 2016. The consultation was completed with no comments of support, and one objection relating to the position of the proposed n</w:t>
            </w:r>
            <w:r w:rsidRPr="00675D44">
              <w:rPr>
                <w:color w:val="000000" w:themeColor="text1"/>
                <w:sz w:val="24"/>
                <w:szCs w:val="24"/>
              </w:rPr>
              <w:t>ew crossing and the present pedestrian and vehicle movements at the location. As a result</w:t>
            </w:r>
            <w:r>
              <w:rPr>
                <w:color w:val="000000" w:themeColor="text1"/>
                <w:sz w:val="24"/>
                <w:szCs w:val="24"/>
              </w:rPr>
              <w:t>, a further</w:t>
            </w:r>
            <w:r w:rsidRPr="00675D44">
              <w:rPr>
                <w:color w:val="000000" w:themeColor="text1"/>
                <w:sz w:val="24"/>
                <w:szCs w:val="24"/>
              </w:rPr>
              <w:t xml:space="preserve"> assessment of need based on the pedestrian and vehicle movements has been carrie</w:t>
            </w:r>
            <w:r>
              <w:rPr>
                <w:color w:val="000000" w:themeColor="text1"/>
                <w:sz w:val="24"/>
                <w:szCs w:val="24"/>
              </w:rPr>
              <w:t xml:space="preserve">d out which concluded that </w:t>
            </w:r>
            <w:r w:rsidRPr="00675D44">
              <w:rPr>
                <w:color w:val="000000" w:themeColor="text1"/>
                <w:sz w:val="24"/>
                <w:szCs w:val="24"/>
              </w:rPr>
              <w:t>there is now insufficient demand or need for a n</w:t>
            </w:r>
            <w:r w:rsidRPr="00675D44">
              <w:rPr>
                <w:color w:val="000000" w:themeColor="text1"/>
                <w:sz w:val="24"/>
                <w:szCs w:val="24"/>
              </w:rPr>
              <w:t>ew crossing at this location.  As such it is proposed to cancel the scheme and release the remaining monies back into the programme to support other road safety schemes.</w:t>
            </w:r>
          </w:p>
        </w:tc>
        <w:tc>
          <w:tcPr>
            <w:tcW w:w="1418" w:type="dxa"/>
            <w:vAlign w:val="center"/>
          </w:tcPr>
          <w:p w:rsidR="000C3445" w:rsidRPr="00675D44" w:rsidP="000C3445">
            <w:pPr>
              <w:jc w:val="center"/>
              <w:rPr>
                <w:color w:val="000000" w:themeColor="text1"/>
                <w:sz w:val="24"/>
                <w:szCs w:val="24"/>
              </w:rPr>
            </w:pPr>
            <w:r w:rsidRPr="00675D44">
              <w:rPr>
                <w:color w:val="000000" w:themeColor="text1"/>
                <w:sz w:val="24"/>
                <w:szCs w:val="24"/>
              </w:rPr>
              <w:t>£50,160</w:t>
            </w:r>
          </w:p>
        </w:tc>
        <w:tc>
          <w:tcPr>
            <w:tcW w:w="1559" w:type="dxa"/>
            <w:vAlign w:val="center"/>
          </w:tcPr>
          <w:p w:rsidR="000C3445" w:rsidRPr="00675D44" w:rsidP="000C3445">
            <w:pPr>
              <w:jc w:val="center"/>
              <w:rPr>
                <w:color w:val="000000" w:themeColor="text1"/>
                <w:sz w:val="24"/>
                <w:szCs w:val="24"/>
              </w:rPr>
            </w:pPr>
            <w:r w:rsidRPr="00675D44">
              <w:rPr>
                <w:color w:val="000000" w:themeColor="text1"/>
                <w:sz w:val="24"/>
                <w:szCs w:val="24"/>
              </w:rPr>
              <w:t>£0</w:t>
            </w:r>
          </w:p>
        </w:tc>
        <w:tc>
          <w:tcPr>
            <w:tcW w:w="1134" w:type="dxa"/>
            <w:vAlign w:val="center"/>
          </w:tcPr>
          <w:p w:rsidR="000C3445" w:rsidRPr="00675D44" w:rsidP="00DC40D4">
            <w:pPr>
              <w:jc w:val="center"/>
              <w:rPr>
                <w:color w:val="000000" w:themeColor="text1"/>
                <w:sz w:val="24"/>
                <w:szCs w:val="24"/>
              </w:rPr>
            </w:pPr>
            <w:r w:rsidRPr="00675D44">
              <w:rPr>
                <w:color w:val="000000" w:themeColor="text1"/>
                <w:sz w:val="24"/>
                <w:szCs w:val="24"/>
              </w:rPr>
              <w:t>£42,264</w:t>
            </w:r>
          </w:p>
        </w:tc>
        <w:tc>
          <w:tcPr>
            <w:tcW w:w="1701" w:type="dxa"/>
            <w:vAlign w:val="center"/>
          </w:tcPr>
          <w:p w:rsidR="00DC40D4" w:rsidRPr="00675D44" w:rsidP="000C3445">
            <w:pPr>
              <w:jc w:val="center"/>
              <w:rPr>
                <w:color w:val="000000" w:themeColor="text1"/>
                <w:sz w:val="24"/>
                <w:szCs w:val="24"/>
              </w:rPr>
            </w:pPr>
            <w:r w:rsidRPr="00675D44">
              <w:rPr>
                <w:color w:val="000000" w:themeColor="text1"/>
                <w:sz w:val="24"/>
                <w:szCs w:val="24"/>
              </w:rPr>
              <w:t>£7,896</w:t>
            </w:r>
          </w:p>
        </w:tc>
      </w:tr>
      <w:tr w:rsidTr="00775BF6">
        <w:tblPrEx>
          <w:tblW w:w="22397" w:type="dxa"/>
          <w:tblInd w:w="-572" w:type="dxa"/>
          <w:tblLayout w:type="fixed"/>
          <w:tblLook w:val="04A0"/>
        </w:tblPrEx>
        <w:trPr>
          <w:trHeight w:val="462"/>
        </w:trPr>
        <w:tc>
          <w:tcPr>
            <w:tcW w:w="567"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No</w:t>
            </w:r>
          </w:p>
        </w:tc>
        <w:tc>
          <w:tcPr>
            <w:tcW w:w="1701"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Scheme Name</w:t>
            </w:r>
          </w:p>
        </w:tc>
        <w:tc>
          <w:tcPr>
            <w:tcW w:w="1985"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Division/District</w:t>
            </w:r>
          </w:p>
        </w:tc>
        <w:tc>
          <w:tcPr>
            <w:tcW w:w="12332"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Change Required</w:t>
            </w:r>
          </w:p>
        </w:tc>
        <w:tc>
          <w:tcPr>
            <w:tcW w:w="1418"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Original A</w:t>
            </w:r>
            <w:r w:rsidRPr="00675D44">
              <w:rPr>
                <w:b/>
                <w:color w:val="000000" w:themeColor="text1"/>
                <w:sz w:val="24"/>
                <w:szCs w:val="24"/>
              </w:rPr>
              <w:t>pproved Allocation</w:t>
            </w:r>
          </w:p>
        </w:tc>
        <w:tc>
          <w:tcPr>
            <w:tcW w:w="1559"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Additional Funding Required</w:t>
            </w:r>
          </w:p>
        </w:tc>
        <w:tc>
          <w:tcPr>
            <w:tcW w:w="1134"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Released Funding</w:t>
            </w:r>
          </w:p>
        </w:tc>
        <w:tc>
          <w:tcPr>
            <w:tcW w:w="1701" w:type="dxa"/>
            <w:shd w:val="clear" w:color="auto" w:fill="BFBFBF" w:themeFill="background1" w:themeFillShade="BF"/>
            <w:vAlign w:val="center"/>
          </w:tcPr>
          <w:p w:rsidR="00775BF6" w:rsidRPr="00675D44" w:rsidP="00775BF6">
            <w:pPr>
              <w:jc w:val="center"/>
              <w:rPr>
                <w:b/>
                <w:color w:val="000000" w:themeColor="text1"/>
                <w:sz w:val="24"/>
                <w:szCs w:val="24"/>
              </w:rPr>
            </w:pPr>
            <w:r w:rsidRPr="00675D44">
              <w:rPr>
                <w:b/>
                <w:color w:val="000000" w:themeColor="text1"/>
                <w:sz w:val="24"/>
                <w:szCs w:val="24"/>
              </w:rPr>
              <w:t>Proposed Scheme Allocation</w:t>
            </w:r>
          </w:p>
        </w:tc>
      </w:tr>
      <w:tr w:rsidTr="006A2636">
        <w:tblPrEx>
          <w:tblW w:w="22397" w:type="dxa"/>
          <w:tblInd w:w="-572" w:type="dxa"/>
          <w:tblLayout w:type="fixed"/>
          <w:tblLook w:val="04A0"/>
        </w:tblPrEx>
        <w:trPr>
          <w:trHeight w:val="1225"/>
        </w:trPr>
        <w:tc>
          <w:tcPr>
            <w:tcW w:w="567" w:type="dxa"/>
          </w:tcPr>
          <w:p w:rsidR="002F53F2" w:rsidRPr="00675D44" w:rsidP="000C3445">
            <w:pPr>
              <w:rPr>
                <w:rFonts w:cs="Arial"/>
                <w:color w:val="000000" w:themeColor="text1"/>
                <w:sz w:val="24"/>
                <w:szCs w:val="24"/>
              </w:rPr>
            </w:pPr>
            <w:r w:rsidRPr="00675D44">
              <w:rPr>
                <w:rFonts w:cs="Arial"/>
                <w:color w:val="000000" w:themeColor="text1"/>
                <w:sz w:val="24"/>
                <w:szCs w:val="24"/>
              </w:rPr>
              <w:t>6.</w:t>
            </w:r>
          </w:p>
        </w:tc>
        <w:tc>
          <w:tcPr>
            <w:tcW w:w="1701" w:type="dxa"/>
          </w:tcPr>
          <w:p w:rsidR="002F53F2" w:rsidRPr="00675D44" w:rsidP="000C3445">
            <w:pPr>
              <w:rPr>
                <w:rFonts w:cs="Arial"/>
                <w:color w:val="000000" w:themeColor="text1"/>
                <w:sz w:val="24"/>
                <w:szCs w:val="24"/>
              </w:rPr>
            </w:pPr>
            <w:r w:rsidRPr="00C5747D">
              <w:rPr>
                <w:rFonts w:cs="Arial"/>
                <w:color w:val="000000" w:themeColor="text1"/>
                <w:sz w:val="24"/>
                <w:szCs w:val="24"/>
              </w:rPr>
              <w:t>A666 Whalley New Road</w:t>
            </w:r>
          </w:p>
        </w:tc>
        <w:tc>
          <w:tcPr>
            <w:tcW w:w="1985" w:type="dxa"/>
          </w:tcPr>
          <w:p w:rsidR="002F53F2" w:rsidRPr="00675D44" w:rsidP="000C3445">
            <w:pPr>
              <w:rPr>
                <w:color w:val="000000" w:themeColor="text1"/>
                <w:sz w:val="24"/>
                <w:szCs w:val="24"/>
              </w:rPr>
            </w:pPr>
            <w:r w:rsidRPr="00675D44">
              <w:rPr>
                <w:color w:val="000000" w:themeColor="text1"/>
                <w:sz w:val="24"/>
                <w:szCs w:val="24"/>
              </w:rPr>
              <w:t>Ribble Valley South West, Ribble Valley</w:t>
            </w:r>
          </w:p>
        </w:tc>
        <w:tc>
          <w:tcPr>
            <w:tcW w:w="12332" w:type="dxa"/>
          </w:tcPr>
          <w:p w:rsidR="00DF69EC" w:rsidRPr="00675D44" w:rsidP="00DF69EC">
            <w:pPr>
              <w:jc w:val="both"/>
              <w:rPr>
                <w:color w:val="000000" w:themeColor="text1"/>
                <w:sz w:val="24"/>
                <w:szCs w:val="24"/>
              </w:rPr>
            </w:pPr>
            <w:r w:rsidRPr="00675D44">
              <w:rPr>
                <w:color w:val="000000" w:themeColor="text1"/>
                <w:sz w:val="24"/>
                <w:szCs w:val="24"/>
              </w:rPr>
              <w:t>This scheme was allocated £38,500 for new safety measures to reduce traffic speeds and</w:t>
            </w:r>
            <w:r>
              <w:rPr>
                <w:color w:val="000000" w:themeColor="text1"/>
                <w:sz w:val="24"/>
                <w:szCs w:val="24"/>
              </w:rPr>
              <w:t xml:space="preserve"> add</w:t>
            </w:r>
            <w:r w:rsidRPr="00675D44">
              <w:rPr>
                <w:color w:val="000000" w:themeColor="text1"/>
                <w:sz w:val="24"/>
                <w:szCs w:val="24"/>
              </w:rPr>
              <w:t xml:space="preserve"> a new </w:t>
            </w:r>
            <w:r w:rsidRPr="00675D44">
              <w:rPr>
                <w:color w:val="000000" w:themeColor="text1"/>
                <w:sz w:val="24"/>
                <w:szCs w:val="24"/>
              </w:rPr>
              <w:t>footway. Following the scheme's completion the post safety audit has identified that additional kerbing, anti-skid surfacing, lining and the provision of a new bollard are required to ensure the public are kept safe in the area.  As such it is proposed tha</w:t>
            </w:r>
            <w:r w:rsidRPr="00675D44">
              <w:rPr>
                <w:color w:val="000000" w:themeColor="text1"/>
                <w:sz w:val="24"/>
                <w:szCs w:val="24"/>
              </w:rPr>
              <w:t>t the additional £</w:t>
            </w:r>
            <w:r>
              <w:rPr>
                <w:color w:val="000000" w:themeColor="text1"/>
                <w:sz w:val="24"/>
                <w:szCs w:val="24"/>
              </w:rPr>
              <w:t>14,</w:t>
            </w:r>
            <w:r w:rsidRPr="00675D44">
              <w:rPr>
                <w:color w:val="000000" w:themeColor="text1"/>
                <w:sz w:val="24"/>
                <w:szCs w:val="24"/>
              </w:rPr>
              <w:t>5</w:t>
            </w:r>
            <w:r>
              <w:rPr>
                <w:color w:val="000000" w:themeColor="text1"/>
                <w:sz w:val="24"/>
                <w:szCs w:val="24"/>
              </w:rPr>
              <w:t>65</w:t>
            </w:r>
            <w:r w:rsidRPr="00675D44">
              <w:rPr>
                <w:color w:val="000000" w:themeColor="text1"/>
                <w:sz w:val="24"/>
                <w:szCs w:val="24"/>
              </w:rPr>
              <w:t xml:space="preserve"> funding required is allocated from the </w:t>
            </w:r>
            <w:r>
              <w:rPr>
                <w:color w:val="000000" w:themeColor="text1"/>
                <w:sz w:val="24"/>
                <w:szCs w:val="24"/>
              </w:rPr>
              <w:t xml:space="preserve">released monies in the </w:t>
            </w:r>
            <w:r w:rsidRPr="00675D44">
              <w:rPr>
                <w:color w:val="000000" w:themeColor="text1"/>
                <w:sz w:val="24"/>
                <w:szCs w:val="24"/>
              </w:rPr>
              <w:t>Carr Road scheme 5 above.</w:t>
            </w:r>
          </w:p>
        </w:tc>
        <w:tc>
          <w:tcPr>
            <w:tcW w:w="1418" w:type="dxa"/>
            <w:vAlign w:val="center"/>
          </w:tcPr>
          <w:p w:rsidR="002F53F2" w:rsidRPr="00675D44" w:rsidP="000C3445">
            <w:pPr>
              <w:jc w:val="center"/>
              <w:rPr>
                <w:color w:val="000000" w:themeColor="text1"/>
                <w:sz w:val="24"/>
                <w:szCs w:val="24"/>
              </w:rPr>
            </w:pPr>
            <w:r w:rsidRPr="00675D44">
              <w:rPr>
                <w:color w:val="000000" w:themeColor="text1"/>
                <w:sz w:val="24"/>
                <w:szCs w:val="24"/>
              </w:rPr>
              <w:t>£38,500</w:t>
            </w:r>
          </w:p>
        </w:tc>
        <w:tc>
          <w:tcPr>
            <w:tcW w:w="1559" w:type="dxa"/>
            <w:vAlign w:val="center"/>
          </w:tcPr>
          <w:p w:rsidR="002F53F2" w:rsidRPr="00675D44" w:rsidP="007F44C1">
            <w:pPr>
              <w:jc w:val="center"/>
              <w:rPr>
                <w:color w:val="000000" w:themeColor="text1"/>
                <w:sz w:val="24"/>
                <w:szCs w:val="24"/>
              </w:rPr>
            </w:pPr>
            <w:r w:rsidRPr="00675D44">
              <w:rPr>
                <w:color w:val="000000" w:themeColor="text1"/>
                <w:sz w:val="24"/>
                <w:szCs w:val="24"/>
              </w:rPr>
              <w:t>£</w:t>
            </w:r>
            <w:r>
              <w:rPr>
                <w:color w:val="000000" w:themeColor="text1"/>
                <w:sz w:val="24"/>
                <w:szCs w:val="24"/>
              </w:rPr>
              <w:t>14,565</w:t>
            </w:r>
          </w:p>
        </w:tc>
        <w:tc>
          <w:tcPr>
            <w:tcW w:w="1134" w:type="dxa"/>
            <w:vAlign w:val="center"/>
          </w:tcPr>
          <w:p w:rsidR="002F53F2" w:rsidRPr="00675D44" w:rsidP="000C3445">
            <w:pPr>
              <w:jc w:val="center"/>
              <w:rPr>
                <w:color w:val="000000" w:themeColor="text1"/>
                <w:sz w:val="24"/>
                <w:szCs w:val="24"/>
              </w:rPr>
            </w:pPr>
            <w:r w:rsidRPr="00675D44">
              <w:rPr>
                <w:color w:val="000000" w:themeColor="text1"/>
                <w:sz w:val="24"/>
                <w:szCs w:val="24"/>
              </w:rPr>
              <w:t>£0</w:t>
            </w:r>
          </w:p>
        </w:tc>
        <w:tc>
          <w:tcPr>
            <w:tcW w:w="1701" w:type="dxa"/>
            <w:vAlign w:val="center"/>
          </w:tcPr>
          <w:p w:rsidR="002F53F2" w:rsidRPr="00675D44" w:rsidP="007F44C1">
            <w:pPr>
              <w:jc w:val="center"/>
              <w:rPr>
                <w:color w:val="000000" w:themeColor="text1"/>
                <w:sz w:val="24"/>
                <w:szCs w:val="24"/>
              </w:rPr>
            </w:pPr>
            <w:r w:rsidRPr="00675D44">
              <w:rPr>
                <w:color w:val="000000" w:themeColor="text1"/>
                <w:sz w:val="24"/>
                <w:szCs w:val="24"/>
              </w:rPr>
              <w:t>£</w:t>
            </w:r>
            <w:r>
              <w:rPr>
                <w:color w:val="000000" w:themeColor="text1"/>
                <w:sz w:val="24"/>
                <w:szCs w:val="24"/>
              </w:rPr>
              <w:t>53,065</w:t>
            </w:r>
          </w:p>
        </w:tc>
      </w:tr>
      <w:tr w:rsidTr="00B76F7E">
        <w:tblPrEx>
          <w:tblW w:w="22397" w:type="dxa"/>
          <w:tblInd w:w="-572" w:type="dxa"/>
          <w:tblLayout w:type="fixed"/>
          <w:tblLook w:val="04A0"/>
        </w:tblPrEx>
        <w:trPr>
          <w:trHeight w:val="462"/>
        </w:trPr>
        <w:tc>
          <w:tcPr>
            <w:tcW w:w="567" w:type="dxa"/>
          </w:tcPr>
          <w:p w:rsidR="00307284" w:rsidRPr="00C92A38" w:rsidP="00307284">
            <w:pPr>
              <w:rPr>
                <w:rFonts w:cs="Arial"/>
                <w:color w:val="000000" w:themeColor="text1"/>
                <w:sz w:val="24"/>
                <w:szCs w:val="24"/>
              </w:rPr>
            </w:pPr>
          </w:p>
        </w:tc>
        <w:tc>
          <w:tcPr>
            <w:tcW w:w="1701" w:type="dxa"/>
          </w:tcPr>
          <w:p w:rsidR="00307284" w:rsidRPr="00C92A38" w:rsidP="00307284">
            <w:pPr>
              <w:rPr>
                <w:rFonts w:cs="Arial"/>
                <w:color w:val="000000" w:themeColor="text1"/>
                <w:sz w:val="24"/>
                <w:szCs w:val="24"/>
              </w:rPr>
            </w:pPr>
          </w:p>
        </w:tc>
        <w:tc>
          <w:tcPr>
            <w:tcW w:w="1985" w:type="dxa"/>
          </w:tcPr>
          <w:p w:rsidR="00307284" w:rsidRPr="00C92A38" w:rsidP="00307284">
            <w:pPr>
              <w:rPr>
                <w:color w:val="000000" w:themeColor="text1"/>
                <w:sz w:val="24"/>
                <w:szCs w:val="24"/>
              </w:rPr>
            </w:pPr>
          </w:p>
        </w:tc>
        <w:tc>
          <w:tcPr>
            <w:tcW w:w="12332" w:type="dxa"/>
            <w:vAlign w:val="center"/>
          </w:tcPr>
          <w:p w:rsidR="00307284" w:rsidP="00307284">
            <w:pPr>
              <w:jc w:val="right"/>
              <w:rPr>
                <w:b/>
                <w:color w:val="000000" w:themeColor="text1"/>
                <w:sz w:val="24"/>
                <w:szCs w:val="24"/>
              </w:rPr>
            </w:pPr>
            <w:r>
              <w:rPr>
                <w:b/>
                <w:color w:val="000000" w:themeColor="text1"/>
                <w:sz w:val="24"/>
                <w:szCs w:val="24"/>
              </w:rPr>
              <w:t>Revised 2015/16</w:t>
            </w:r>
            <w:r w:rsidRPr="00C92A38">
              <w:rPr>
                <w:b/>
                <w:color w:val="000000" w:themeColor="text1"/>
                <w:sz w:val="24"/>
                <w:szCs w:val="24"/>
              </w:rPr>
              <w:t xml:space="preserve"> New Start Road Safety</w:t>
            </w:r>
          </w:p>
        </w:tc>
        <w:tc>
          <w:tcPr>
            <w:tcW w:w="1418" w:type="dxa"/>
            <w:vAlign w:val="center"/>
          </w:tcPr>
          <w:p w:rsidR="00307284" w:rsidRPr="00307284" w:rsidP="00DC40D4">
            <w:pPr>
              <w:jc w:val="center"/>
              <w:rPr>
                <w:b/>
                <w:color w:val="000000" w:themeColor="text1"/>
                <w:sz w:val="24"/>
                <w:szCs w:val="24"/>
              </w:rPr>
            </w:pPr>
            <w:r>
              <w:rPr>
                <w:b/>
                <w:color w:val="000000" w:themeColor="text1"/>
                <w:sz w:val="24"/>
                <w:szCs w:val="24"/>
              </w:rPr>
              <w:t>£88,660</w:t>
            </w:r>
          </w:p>
        </w:tc>
        <w:tc>
          <w:tcPr>
            <w:tcW w:w="1559" w:type="dxa"/>
            <w:vAlign w:val="center"/>
          </w:tcPr>
          <w:p w:rsidR="00307284" w:rsidRPr="00307284" w:rsidP="00307284">
            <w:pPr>
              <w:jc w:val="center"/>
              <w:rPr>
                <w:b/>
                <w:color w:val="000000" w:themeColor="text1"/>
                <w:sz w:val="24"/>
                <w:szCs w:val="24"/>
              </w:rPr>
            </w:pPr>
            <w:r>
              <w:rPr>
                <w:b/>
                <w:color w:val="000000" w:themeColor="text1"/>
                <w:sz w:val="24"/>
                <w:szCs w:val="24"/>
              </w:rPr>
              <w:t>£14,565</w:t>
            </w:r>
          </w:p>
        </w:tc>
        <w:tc>
          <w:tcPr>
            <w:tcW w:w="1134" w:type="dxa"/>
            <w:vAlign w:val="center"/>
          </w:tcPr>
          <w:p w:rsidR="00307284" w:rsidRPr="00307284" w:rsidP="00307284">
            <w:pPr>
              <w:jc w:val="center"/>
              <w:rPr>
                <w:b/>
                <w:color w:val="000000" w:themeColor="text1"/>
                <w:sz w:val="24"/>
                <w:szCs w:val="24"/>
              </w:rPr>
            </w:pPr>
            <w:r>
              <w:rPr>
                <w:b/>
                <w:color w:val="000000" w:themeColor="text1"/>
                <w:sz w:val="24"/>
                <w:szCs w:val="24"/>
              </w:rPr>
              <w:t>£42,264</w:t>
            </w:r>
          </w:p>
        </w:tc>
        <w:tc>
          <w:tcPr>
            <w:tcW w:w="1701" w:type="dxa"/>
            <w:vAlign w:val="center"/>
          </w:tcPr>
          <w:p w:rsidR="00307284" w:rsidRPr="00307284" w:rsidP="00307284">
            <w:pPr>
              <w:jc w:val="center"/>
              <w:rPr>
                <w:b/>
                <w:color w:val="000000" w:themeColor="text1"/>
                <w:sz w:val="24"/>
                <w:szCs w:val="24"/>
              </w:rPr>
            </w:pPr>
            <w:r>
              <w:rPr>
                <w:b/>
                <w:color w:val="000000" w:themeColor="text1"/>
                <w:sz w:val="24"/>
                <w:szCs w:val="24"/>
              </w:rPr>
              <w:t>£60,961</w:t>
            </w:r>
          </w:p>
        </w:tc>
      </w:tr>
      <w:tr w:rsidTr="00EA187B">
        <w:tblPrEx>
          <w:tblW w:w="22397" w:type="dxa"/>
          <w:tblInd w:w="-572" w:type="dxa"/>
          <w:tblLayout w:type="fixed"/>
          <w:tblLook w:val="04A0"/>
        </w:tblPrEx>
        <w:trPr>
          <w:trHeight w:val="462"/>
        </w:trPr>
        <w:tc>
          <w:tcPr>
            <w:tcW w:w="567" w:type="dxa"/>
            <w:vAlign w:val="center"/>
          </w:tcPr>
          <w:p w:rsidR="00EA187B" w:rsidRPr="00C92A38" w:rsidP="00EA187B">
            <w:pPr>
              <w:rPr>
                <w:rFonts w:cs="Arial"/>
                <w:color w:val="000000" w:themeColor="text1"/>
                <w:sz w:val="24"/>
                <w:szCs w:val="24"/>
              </w:rPr>
            </w:pPr>
          </w:p>
        </w:tc>
        <w:tc>
          <w:tcPr>
            <w:tcW w:w="1701" w:type="dxa"/>
            <w:vAlign w:val="center"/>
          </w:tcPr>
          <w:p w:rsidR="00EA187B" w:rsidRPr="00C92A38" w:rsidP="00EA187B">
            <w:pPr>
              <w:rPr>
                <w:rFonts w:cs="Arial"/>
                <w:color w:val="000000" w:themeColor="text1"/>
                <w:sz w:val="24"/>
                <w:szCs w:val="24"/>
              </w:rPr>
            </w:pPr>
          </w:p>
        </w:tc>
        <w:tc>
          <w:tcPr>
            <w:tcW w:w="1985" w:type="dxa"/>
            <w:vAlign w:val="center"/>
          </w:tcPr>
          <w:p w:rsidR="00EA187B" w:rsidRPr="00C92A38" w:rsidP="00EA187B">
            <w:pPr>
              <w:rPr>
                <w:color w:val="000000" w:themeColor="text1"/>
                <w:sz w:val="24"/>
                <w:szCs w:val="24"/>
              </w:rPr>
            </w:pPr>
          </w:p>
        </w:tc>
        <w:tc>
          <w:tcPr>
            <w:tcW w:w="12332" w:type="dxa"/>
            <w:vAlign w:val="center"/>
          </w:tcPr>
          <w:p w:rsidR="00EA187B" w:rsidP="00EA187B">
            <w:pPr>
              <w:rPr>
                <w:b/>
                <w:color w:val="000000" w:themeColor="text1"/>
                <w:sz w:val="24"/>
                <w:szCs w:val="24"/>
              </w:rPr>
            </w:pPr>
            <w:r>
              <w:rPr>
                <w:b/>
                <w:color w:val="000000" w:themeColor="text1"/>
                <w:sz w:val="24"/>
                <w:szCs w:val="24"/>
              </w:rPr>
              <w:t>2015/16</w:t>
            </w:r>
            <w:r w:rsidRPr="00C92A38">
              <w:rPr>
                <w:b/>
                <w:color w:val="000000" w:themeColor="text1"/>
                <w:sz w:val="24"/>
                <w:szCs w:val="24"/>
              </w:rPr>
              <w:t xml:space="preserve"> New Start </w:t>
            </w:r>
            <w:r>
              <w:rPr>
                <w:b/>
                <w:color w:val="000000" w:themeColor="text1"/>
                <w:sz w:val="24"/>
                <w:szCs w:val="24"/>
              </w:rPr>
              <w:t>Cycling Safety</w:t>
            </w:r>
          </w:p>
        </w:tc>
        <w:tc>
          <w:tcPr>
            <w:tcW w:w="1418" w:type="dxa"/>
            <w:vAlign w:val="center"/>
          </w:tcPr>
          <w:p w:rsidR="00EA187B" w:rsidP="00EA187B">
            <w:pPr>
              <w:rPr>
                <w:b/>
                <w:color w:val="000000" w:themeColor="text1"/>
                <w:sz w:val="24"/>
                <w:szCs w:val="24"/>
              </w:rPr>
            </w:pPr>
          </w:p>
        </w:tc>
        <w:tc>
          <w:tcPr>
            <w:tcW w:w="1559" w:type="dxa"/>
            <w:vAlign w:val="center"/>
          </w:tcPr>
          <w:p w:rsidR="00EA187B" w:rsidP="00EA187B">
            <w:pPr>
              <w:rPr>
                <w:b/>
                <w:color w:val="000000" w:themeColor="text1"/>
                <w:sz w:val="24"/>
                <w:szCs w:val="24"/>
              </w:rPr>
            </w:pPr>
          </w:p>
        </w:tc>
        <w:tc>
          <w:tcPr>
            <w:tcW w:w="1134" w:type="dxa"/>
            <w:vAlign w:val="center"/>
          </w:tcPr>
          <w:p w:rsidR="00EA187B" w:rsidP="00EA187B">
            <w:pPr>
              <w:rPr>
                <w:b/>
                <w:color w:val="000000" w:themeColor="text1"/>
                <w:sz w:val="24"/>
                <w:szCs w:val="24"/>
              </w:rPr>
            </w:pPr>
          </w:p>
        </w:tc>
        <w:tc>
          <w:tcPr>
            <w:tcW w:w="1701" w:type="dxa"/>
            <w:vAlign w:val="center"/>
          </w:tcPr>
          <w:p w:rsidR="00EA187B" w:rsidP="00EA187B">
            <w:pPr>
              <w:rPr>
                <w:b/>
                <w:color w:val="000000" w:themeColor="text1"/>
                <w:sz w:val="24"/>
                <w:szCs w:val="24"/>
              </w:rPr>
            </w:pPr>
          </w:p>
        </w:tc>
      </w:tr>
      <w:tr w:rsidTr="00961350">
        <w:tblPrEx>
          <w:tblW w:w="22397" w:type="dxa"/>
          <w:tblInd w:w="-572" w:type="dxa"/>
          <w:tblLayout w:type="fixed"/>
          <w:tblLook w:val="04A0"/>
        </w:tblPrEx>
        <w:trPr>
          <w:trHeight w:val="3381"/>
        </w:trPr>
        <w:tc>
          <w:tcPr>
            <w:tcW w:w="567" w:type="dxa"/>
          </w:tcPr>
          <w:p w:rsidR="00EA187B" w:rsidRPr="00C92A38" w:rsidP="00EA187B">
            <w:pPr>
              <w:rPr>
                <w:rFonts w:cs="Arial"/>
                <w:color w:val="000000" w:themeColor="text1"/>
                <w:sz w:val="24"/>
                <w:szCs w:val="24"/>
              </w:rPr>
            </w:pPr>
            <w:r>
              <w:rPr>
                <w:rFonts w:cs="Arial"/>
                <w:color w:val="000000" w:themeColor="text1"/>
                <w:sz w:val="24"/>
                <w:szCs w:val="24"/>
              </w:rPr>
              <w:t>7.</w:t>
            </w:r>
          </w:p>
        </w:tc>
        <w:tc>
          <w:tcPr>
            <w:tcW w:w="1701" w:type="dxa"/>
          </w:tcPr>
          <w:p w:rsidR="00EA187B" w:rsidRPr="00C92A38" w:rsidP="00EA187B">
            <w:pPr>
              <w:rPr>
                <w:rFonts w:cs="Arial"/>
                <w:color w:val="000000" w:themeColor="text1"/>
                <w:sz w:val="24"/>
                <w:szCs w:val="24"/>
              </w:rPr>
            </w:pPr>
            <w:r>
              <w:rPr>
                <w:rFonts w:cs="Arial"/>
                <w:color w:val="000000" w:themeColor="text1"/>
                <w:sz w:val="24"/>
                <w:szCs w:val="24"/>
              </w:rPr>
              <w:t xml:space="preserve">York Street and Chatburn Road  </w:t>
            </w:r>
          </w:p>
        </w:tc>
        <w:tc>
          <w:tcPr>
            <w:tcW w:w="1985" w:type="dxa"/>
          </w:tcPr>
          <w:p w:rsidR="00EA187B" w:rsidRPr="00961350" w:rsidP="00EA187B">
            <w:pPr>
              <w:rPr>
                <w:color w:val="000000" w:themeColor="text1"/>
                <w:sz w:val="24"/>
                <w:szCs w:val="24"/>
              </w:rPr>
            </w:pPr>
            <w:r w:rsidRPr="00961350">
              <w:rPr>
                <w:color w:val="000000" w:themeColor="text1"/>
                <w:sz w:val="24"/>
                <w:szCs w:val="24"/>
              </w:rPr>
              <w:t>Ribble Valley North East, Ribble Valley</w:t>
            </w:r>
          </w:p>
        </w:tc>
        <w:tc>
          <w:tcPr>
            <w:tcW w:w="12332" w:type="dxa"/>
          </w:tcPr>
          <w:p w:rsidR="00CC5ED7" w:rsidRPr="00961350" w:rsidP="00961350">
            <w:pPr>
              <w:jc w:val="both"/>
              <w:rPr>
                <w:rFonts w:ascii="Calibri" w:hAnsi="Calibri"/>
                <w:color w:val="000000" w:themeColor="text1"/>
                <w:sz w:val="24"/>
                <w:szCs w:val="24"/>
              </w:rPr>
            </w:pPr>
            <w:r w:rsidRPr="00961350">
              <w:rPr>
                <w:rFonts w:ascii="Calibri" w:hAnsi="Calibri"/>
                <w:color w:val="000000" w:themeColor="text1"/>
                <w:sz w:val="24"/>
                <w:szCs w:val="24"/>
              </w:rPr>
              <w:t>This scheme was allocated £58,000 to review and amend the roundabout design between these two roads to incorporate a red surfaced area to segregate cyclists from vehicles and implem</w:t>
            </w:r>
            <w:r w:rsidRPr="00961350">
              <w:rPr>
                <w:rFonts w:ascii="Calibri" w:hAnsi="Calibri"/>
                <w:color w:val="000000" w:themeColor="text1"/>
                <w:sz w:val="24"/>
                <w:szCs w:val="24"/>
              </w:rPr>
              <w:t>ent traffic calming on the roundabout to reduce the number of accidents.  It was hoped that the scheme could be carried out with a full road closure during the school holidays, however following the full consultation the scheme commenced in November 2016 w</w:t>
            </w:r>
            <w:r w:rsidRPr="00961350">
              <w:rPr>
                <w:rFonts w:ascii="Calibri" w:hAnsi="Calibri"/>
                <w:color w:val="000000" w:themeColor="text1"/>
                <w:sz w:val="24"/>
                <w:szCs w:val="24"/>
              </w:rPr>
              <w:t>hich meant the scheme had to be delivered with live trafficked lanes. This required the majority of the w</w:t>
            </w:r>
            <w:r>
              <w:rPr>
                <w:rFonts w:ascii="Calibri" w:hAnsi="Calibri"/>
                <w:color w:val="000000" w:themeColor="text1"/>
                <w:sz w:val="24"/>
                <w:szCs w:val="24"/>
              </w:rPr>
              <w:t>orks to be undertaken overnight</w:t>
            </w:r>
            <w:r w:rsidRPr="00961350">
              <w:rPr>
                <w:rFonts w:ascii="Calibri" w:hAnsi="Calibri"/>
                <w:color w:val="000000" w:themeColor="text1"/>
                <w:sz w:val="24"/>
                <w:szCs w:val="24"/>
              </w:rPr>
              <w:t xml:space="preserve"> and during evenings and weekends to try to ensure that traffic flows could be maintained in busy and peak times; howeve</w:t>
            </w:r>
            <w:r w:rsidRPr="00961350">
              <w:rPr>
                <w:rFonts w:ascii="Calibri" w:hAnsi="Calibri"/>
                <w:color w:val="000000" w:themeColor="text1"/>
                <w:sz w:val="24"/>
                <w:szCs w:val="24"/>
              </w:rPr>
              <w:t>r this significantly increased the traffic management costs of the project. Following this section of the works</w:t>
            </w:r>
            <w:r>
              <w:rPr>
                <w:rFonts w:ascii="Calibri" w:hAnsi="Calibri"/>
                <w:color w:val="000000" w:themeColor="text1"/>
                <w:sz w:val="24"/>
                <w:szCs w:val="24"/>
              </w:rPr>
              <w:t>,</w:t>
            </w:r>
            <w:r w:rsidRPr="00961350">
              <w:rPr>
                <w:rFonts w:ascii="Calibri" w:hAnsi="Calibri"/>
                <w:color w:val="000000" w:themeColor="text1"/>
                <w:sz w:val="24"/>
                <w:szCs w:val="24"/>
              </w:rPr>
              <w:t xml:space="preserve"> the post construction safety audit has been completed and it has highlighted that further additional safety works are required to improve the a</w:t>
            </w:r>
            <w:r w:rsidRPr="00961350">
              <w:rPr>
                <w:rFonts w:ascii="Calibri" w:hAnsi="Calibri"/>
                <w:color w:val="000000" w:themeColor="text1"/>
                <w:sz w:val="24"/>
                <w:szCs w:val="24"/>
              </w:rPr>
              <w:t>lignment of the approaches to the roundabout, differentiate the kerbs, and improve the access for vulnerable road users. It is proposed that these additional £67,000 monies required to complete the project are assigned from the remaining unallocated budget</w:t>
            </w:r>
            <w:r w:rsidRPr="00961350">
              <w:rPr>
                <w:rFonts w:ascii="Calibri" w:hAnsi="Calibri"/>
                <w:color w:val="000000" w:themeColor="text1"/>
                <w:sz w:val="24"/>
                <w:szCs w:val="24"/>
              </w:rPr>
              <w:t xml:space="preserve"> within the programme to allow the scheme and the safety works to be completed.</w:t>
            </w:r>
            <w:bookmarkStart w:id="0" w:name="_GoBack"/>
            <w:bookmarkEnd w:id="0"/>
          </w:p>
        </w:tc>
        <w:tc>
          <w:tcPr>
            <w:tcW w:w="1418" w:type="dxa"/>
            <w:vAlign w:val="center"/>
          </w:tcPr>
          <w:p w:rsidR="00EA187B" w:rsidRPr="00775BF6" w:rsidP="00775BF6">
            <w:pPr>
              <w:jc w:val="center"/>
              <w:rPr>
                <w:color w:val="000000" w:themeColor="text1"/>
                <w:sz w:val="24"/>
                <w:szCs w:val="24"/>
              </w:rPr>
            </w:pPr>
            <w:r w:rsidRPr="00775BF6">
              <w:rPr>
                <w:color w:val="000000" w:themeColor="text1"/>
                <w:sz w:val="24"/>
                <w:szCs w:val="24"/>
              </w:rPr>
              <w:t>£58,000</w:t>
            </w:r>
          </w:p>
        </w:tc>
        <w:tc>
          <w:tcPr>
            <w:tcW w:w="1559" w:type="dxa"/>
            <w:vAlign w:val="center"/>
          </w:tcPr>
          <w:p w:rsidR="00EA187B" w:rsidRPr="00775BF6" w:rsidP="00775BF6">
            <w:pPr>
              <w:jc w:val="center"/>
              <w:rPr>
                <w:color w:val="000000" w:themeColor="text1"/>
                <w:sz w:val="24"/>
                <w:szCs w:val="24"/>
              </w:rPr>
            </w:pPr>
            <w:r>
              <w:rPr>
                <w:color w:val="000000" w:themeColor="text1"/>
                <w:sz w:val="24"/>
                <w:szCs w:val="24"/>
              </w:rPr>
              <w:t>£67,000</w:t>
            </w:r>
          </w:p>
        </w:tc>
        <w:tc>
          <w:tcPr>
            <w:tcW w:w="1134" w:type="dxa"/>
            <w:vAlign w:val="center"/>
          </w:tcPr>
          <w:p w:rsidR="00EA187B" w:rsidRPr="00775BF6" w:rsidP="00775BF6">
            <w:pPr>
              <w:jc w:val="center"/>
              <w:rPr>
                <w:color w:val="000000" w:themeColor="text1"/>
                <w:sz w:val="24"/>
                <w:szCs w:val="24"/>
              </w:rPr>
            </w:pPr>
            <w:r>
              <w:rPr>
                <w:color w:val="000000" w:themeColor="text1"/>
                <w:sz w:val="24"/>
                <w:szCs w:val="24"/>
              </w:rPr>
              <w:t>£0</w:t>
            </w:r>
          </w:p>
        </w:tc>
        <w:tc>
          <w:tcPr>
            <w:tcW w:w="1701" w:type="dxa"/>
            <w:vAlign w:val="center"/>
          </w:tcPr>
          <w:p w:rsidR="00EA187B" w:rsidRPr="00775BF6" w:rsidP="00775BF6">
            <w:pPr>
              <w:jc w:val="center"/>
              <w:rPr>
                <w:color w:val="000000" w:themeColor="text1"/>
                <w:sz w:val="24"/>
                <w:szCs w:val="24"/>
              </w:rPr>
            </w:pPr>
            <w:r>
              <w:rPr>
                <w:color w:val="000000" w:themeColor="text1"/>
                <w:sz w:val="24"/>
                <w:szCs w:val="24"/>
              </w:rPr>
              <w:t>£125,000</w:t>
            </w:r>
          </w:p>
        </w:tc>
      </w:tr>
      <w:tr w:rsidTr="00EA187B">
        <w:tblPrEx>
          <w:tblW w:w="22397" w:type="dxa"/>
          <w:tblInd w:w="-572" w:type="dxa"/>
          <w:tblLayout w:type="fixed"/>
          <w:tblLook w:val="04A0"/>
        </w:tblPrEx>
        <w:trPr>
          <w:trHeight w:val="462"/>
        </w:trPr>
        <w:tc>
          <w:tcPr>
            <w:tcW w:w="567" w:type="dxa"/>
            <w:vAlign w:val="center"/>
          </w:tcPr>
          <w:p w:rsidR="00FE4477" w:rsidRPr="00C92A38" w:rsidP="00FE4477">
            <w:pPr>
              <w:rPr>
                <w:rFonts w:cs="Arial"/>
                <w:color w:val="000000" w:themeColor="text1"/>
                <w:sz w:val="24"/>
                <w:szCs w:val="24"/>
              </w:rPr>
            </w:pPr>
          </w:p>
        </w:tc>
        <w:tc>
          <w:tcPr>
            <w:tcW w:w="1701" w:type="dxa"/>
            <w:vAlign w:val="center"/>
          </w:tcPr>
          <w:p w:rsidR="00FE4477" w:rsidRPr="00C92A38" w:rsidP="00FE4477">
            <w:pPr>
              <w:rPr>
                <w:rFonts w:cs="Arial"/>
                <w:color w:val="000000" w:themeColor="text1"/>
                <w:sz w:val="24"/>
                <w:szCs w:val="24"/>
              </w:rPr>
            </w:pPr>
          </w:p>
        </w:tc>
        <w:tc>
          <w:tcPr>
            <w:tcW w:w="1985" w:type="dxa"/>
            <w:vAlign w:val="center"/>
          </w:tcPr>
          <w:p w:rsidR="00FE4477" w:rsidRPr="00C92A38" w:rsidP="00FE4477">
            <w:pPr>
              <w:rPr>
                <w:color w:val="000000" w:themeColor="text1"/>
                <w:sz w:val="24"/>
                <w:szCs w:val="24"/>
              </w:rPr>
            </w:pPr>
          </w:p>
        </w:tc>
        <w:tc>
          <w:tcPr>
            <w:tcW w:w="12332" w:type="dxa"/>
            <w:vAlign w:val="center"/>
          </w:tcPr>
          <w:p w:rsidR="00FE4477" w:rsidP="00FE4477">
            <w:pPr>
              <w:jc w:val="right"/>
              <w:rPr>
                <w:b/>
                <w:color w:val="000000" w:themeColor="text1"/>
                <w:sz w:val="24"/>
                <w:szCs w:val="24"/>
              </w:rPr>
            </w:pPr>
            <w:r>
              <w:rPr>
                <w:b/>
                <w:color w:val="000000" w:themeColor="text1"/>
                <w:sz w:val="24"/>
                <w:szCs w:val="24"/>
              </w:rPr>
              <w:t>Revised 2015/16</w:t>
            </w:r>
            <w:r w:rsidRPr="00C92A38">
              <w:rPr>
                <w:b/>
                <w:color w:val="000000" w:themeColor="text1"/>
                <w:sz w:val="24"/>
                <w:szCs w:val="24"/>
              </w:rPr>
              <w:t xml:space="preserve"> New Start </w:t>
            </w:r>
            <w:r>
              <w:rPr>
                <w:b/>
                <w:color w:val="000000" w:themeColor="text1"/>
                <w:sz w:val="24"/>
                <w:szCs w:val="24"/>
              </w:rPr>
              <w:t>Cycling Safety</w:t>
            </w:r>
          </w:p>
        </w:tc>
        <w:tc>
          <w:tcPr>
            <w:tcW w:w="1418" w:type="dxa"/>
            <w:vAlign w:val="center"/>
          </w:tcPr>
          <w:p w:rsidR="00FE4477" w:rsidRPr="00FE4477" w:rsidP="00FE4477">
            <w:pPr>
              <w:jc w:val="center"/>
              <w:rPr>
                <w:b/>
                <w:color w:val="000000" w:themeColor="text1"/>
                <w:sz w:val="24"/>
                <w:szCs w:val="24"/>
              </w:rPr>
            </w:pPr>
            <w:r w:rsidRPr="00FE4477">
              <w:rPr>
                <w:b/>
                <w:color w:val="000000" w:themeColor="text1"/>
                <w:sz w:val="24"/>
                <w:szCs w:val="24"/>
              </w:rPr>
              <w:t>£58,000</w:t>
            </w:r>
          </w:p>
        </w:tc>
        <w:tc>
          <w:tcPr>
            <w:tcW w:w="1559" w:type="dxa"/>
            <w:vAlign w:val="center"/>
          </w:tcPr>
          <w:p w:rsidR="00FE4477" w:rsidRPr="00FE4477" w:rsidP="00FE4477">
            <w:pPr>
              <w:jc w:val="center"/>
              <w:rPr>
                <w:b/>
                <w:color w:val="000000" w:themeColor="text1"/>
                <w:sz w:val="24"/>
                <w:szCs w:val="24"/>
              </w:rPr>
            </w:pPr>
            <w:r w:rsidRPr="00FE4477">
              <w:rPr>
                <w:b/>
                <w:color w:val="000000" w:themeColor="text1"/>
                <w:sz w:val="24"/>
                <w:szCs w:val="24"/>
              </w:rPr>
              <w:t>£67,000</w:t>
            </w:r>
          </w:p>
        </w:tc>
        <w:tc>
          <w:tcPr>
            <w:tcW w:w="1134" w:type="dxa"/>
            <w:vAlign w:val="center"/>
          </w:tcPr>
          <w:p w:rsidR="00FE4477" w:rsidRPr="00FE4477" w:rsidP="00FE4477">
            <w:pPr>
              <w:jc w:val="center"/>
              <w:rPr>
                <w:b/>
                <w:color w:val="000000" w:themeColor="text1"/>
                <w:sz w:val="24"/>
                <w:szCs w:val="24"/>
              </w:rPr>
            </w:pPr>
            <w:r w:rsidRPr="00FE4477">
              <w:rPr>
                <w:b/>
                <w:color w:val="000000" w:themeColor="text1"/>
                <w:sz w:val="24"/>
                <w:szCs w:val="24"/>
              </w:rPr>
              <w:t>£0</w:t>
            </w:r>
          </w:p>
        </w:tc>
        <w:tc>
          <w:tcPr>
            <w:tcW w:w="1701" w:type="dxa"/>
            <w:vAlign w:val="center"/>
          </w:tcPr>
          <w:p w:rsidR="00FE4477" w:rsidRPr="00FE4477" w:rsidP="00FE4477">
            <w:pPr>
              <w:jc w:val="center"/>
              <w:rPr>
                <w:b/>
                <w:color w:val="000000" w:themeColor="text1"/>
                <w:sz w:val="24"/>
                <w:szCs w:val="24"/>
              </w:rPr>
            </w:pPr>
            <w:r w:rsidRPr="00FE4477">
              <w:rPr>
                <w:b/>
                <w:color w:val="000000" w:themeColor="text1"/>
                <w:sz w:val="24"/>
                <w:szCs w:val="24"/>
              </w:rPr>
              <w:t>£125,000</w:t>
            </w:r>
          </w:p>
        </w:tc>
      </w:tr>
      <w:tr w:rsidTr="0001508F">
        <w:tblPrEx>
          <w:tblW w:w="22397" w:type="dxa"/>
          <w:tblInd w:w="-572" w:type="dxa"/>
          <w:tblLayout w:type="fixed"/>
          <w:tblLook w:val="04A0"/>
        </w:tblPrEx>
        <w:trPr>
          <w:trHeight w:val="462"/>
        </w:trPr>
        <w:tc>
          <w:tcPr>
            <w:tcW w:w="567" w:type="dxa"/>
            <w:vAlign w:val="center"/>
          </w:tcPr>
          <w:p w:rsidR="00FE4477" w:rsidRPr="00C92A38" w:rsidP="00FE4477">
            <w:pPr>
              <w:rPr>
                <w:rFonts w:cs="Arial"/>
                <w:color w:val="000000" w:themeColor="text1"/>
                <w:sz w:val="24"/>
                <w:szCs w:val="24"/>
              </w:rPr>
            </w:pPr>
          </w:p>
        </w:tc>
        <w:tc>
          <w:tcPr>
            <w:tcW w:w="1701" w:type="dxa"/>
            <w:vAlign w:val="center"/>
          </w:tcPr>
          <w:p w:rsidR="00FE4477" w:rsidRPr="00C92A38" w:rsidP="00FE4477">
            <w:pPr>
              <w:rPr>
                <w:rFonts w:cs="Arial"/>
                <w:color w:val="000000" w:themeColor="text1"/>
                <w:sz w:val="24"/>
                <w:szCs w:val="24"/>
              </w:rPr>
            </w:pPr>
          </w:p>
        </w:tc>
        <w:tc>
          <w:tcPr>
            <w:tcW w:w="1985" w:type="dxa"/>
            <w:vAlign w:val="center"/>
          </w:tcPr>
          <w:p w:rsidR="00FE4477" w:rsidRPr="00C92A38" w:rsidP="00FE4477">
            <w:pPr>
              <w:rPr>
                <w:color w:val="000000" w:themeColor="text1"/>
                <w:sz w:val="24"/>
                <w:szCs w:val="24"/>
              </w:rPr>
            </w:pPr>
          </w:p>
        </w:tc>
        <w:tc>
          <w:tcPr>
            <w:tcW w:w="12332" w:type="dxa"/>
            <w:vAlign w:val="center"/>
          </w:tcPr>
          <w:p w:rsidR="00FE4477" w:rsidP="00FE4477">
            <w:pPr>
              <w:rPr>
                <w:b/>
                <w:color w:val="000000" w:themeColor="text1"/>
                <w:sz w:val="24"/>
                <w:szCs w:val="24"/>
              </w:rPr>
            </w:pPr>
            <w:r>
              <w:rPr>
                <w:b/>
                <w:color w:val="000000" w:themeColor="text1"/>
                <w:sz w:val="24"/>
                <w:szCs w:val="24"/>
              </w:rPr>
              <w:t>2016/17 New Start Public Rights of Way</w:t>
            </w:r>
          </w:p>
        </w:tc>
        <w:tc>
          <w:tcPr>
            <w:tcW w:w="1418" w:type="dxa"/>
            <w:vAlign w:val="center"/>
          </w:tcPr>
          <w:p w:rsidR="00FE4477" w:rsidP="00FE4477">
            <w:pPr>
              <w:rPr>
                <w:b/>
                <w:color w:val="000000" w:themeColor="text1"/>
                <w:sz w:val="24"/>
                <w:szCs w:val="24"/>
              </w:rPr>
            </w:pPr>
          </w:p>
        </w:tc>
        <w:tc>
          <w:tcPr>
            <w:tcW w:w="1559" w:type="dxa"/>
            <w:vAlign w:val="center"/>
          </w:tcPr>
          <w:p w:rsidR="00FE4477" w:rsidP="00FE4477">
            <w:pPr>
              <w:rPr>
                <w:b/>
                <w:color w:val="000000" w:themeColor="text1"/>
                <w:sz w:val="24"/>
                <w:szCs w:val="24"/>
              </w:rPr>
            </w:pPr>
          </w:p>
        </w:tc>
        <w:tc>
          <w:tcPr>
            <w:tcW w:w="1134" w:type="dxa"/>
            <w:vAlign w:val="center"/>
          </w:tcPr>
          <w:p w:rsidR="00FE4477" w:rsidP="00FE4477">
            <w:pPr>
              <w:rPr>
                <w:b/>
                <w:color w:val="000000" w:themeColor="text1"/>
                <w:sz w:val="24"/>
                <w:szCs w:val="24"/>
              </w:rPr>
            </w:pPr>
          </w:p>
        </w:tc>
        <w:tc>
          <w:tcPr>
            <w:tcW w:w="1701" w:type="dxa"/>
            <w:vAlign w:val="center"/>
          </w:tcPr>
          <w:p w:rsidR="00FE4477" w:rsidP="00FE4477">
            <w:pPr>
              <w:rPr>
                <w:b/>
                <w:color w:val="000000" w:themeColor="text1"/>
                <w:sz w:val="24"/>
                <w:szCs w:val="24"/>
              </w:rPr>
            </w:pPr>
          </w:p>
        </w:tc>
      </w:tr>
      <w:tr w:rsidTr="002F4266">
        <w:tblPrEx>
          <w:tblW w:w="22397" w:type="dxa"/>
          <w:tblInd w:w="-572" w:type="dxa"/>
          <w:tblLayout w:type="fixed"/>
          <w:tblLook w:val="04A0"/>
        </w:tblPrEx>
        <w:trPr>
          <w:trHeight w:val="462"/>
        </w:trPr>
        <w:tc>
          <w:tcPr>
            <w:tcW w:w="567" w:type="dxa"/>
          </w:tcPr>
          <w:p w:rsidR="00FE4477" w:rsidRPr="00C92A38" w:rsidP="00FE4477">
            <w:pPr>
              <w:rPr>
                <w:rFonts w:cs="Arial"/>
                <w:color w:val="000000" w:themeColor="text1"/>
                <w:sz w:val="24"/>
                <w:szCs w:val="24"/>
              </w:rPr>
            </w:pPr>
            <w:r>
              <w:rPr>
                <w:rFonts w:cs="Arial"/>
                <w:color w:val="000000" w:themeColor="text1"/>
                <w:sz w:val="24"/>
                <w:szCs w:val="24"/>
              </w:rPr>
              <w:t>8.</w:t>
            </w:r>
          </w:p>
        </w:tc>
        <w:tc>
          <w:tcPr>
            <w:tcW w:w="1701" w:type="dxa"/>
          </w:tcPr>
          <w:p w:rsidR="00FE4477" w:rsidRPr="00C92A38" w:rsidP="00FE4477">
            <w:pPr>
              <w:rPr>
                <w:rFonts w:cs="Arial"/>
                <w:color w:val="000000" w:themeColor="text1"/>
                <w:sz w:val="24"/>
                <w:szCs w:val="24"/>
              </w:rPr>
            </w:pPr>
            <w:r>
              <w:rPr>
                <w:rFonts w:cs="Arial"/>
                <w:color w:val="000000" w:themeColor="text1"/>
                <w:sz w:val="24"/>
                <w:szCs w:val="24"/>
              </w:rPr>
              <w:t xml:space="preserve">Bridleway 86, Heath </w:t>
            </w:r>
            <w:r>
              <w:rPr>
                <w:rFonts w:cs="Arial"/>
                <w:color w:val="000000" w:themeColor="text1"/>
                <w:sz w:val="24"/>
                <w:szCs w:val="24"/>
              </w:rPr>
              <w:t>Charnock</w:t>
            </w:r>
          </w:p>
        </w:tc>
        <w:tc>
          <w:tcPr>
            <w:tcW w:w="1985" w:type="dxa"/>
          </w:tcPr>
          <w:p w:rsidR="00FE4477" w:rsidRPr="00C92A38" w:rsidP="00FE4477">
            <w:pPr>
              <w:rPr>
                <w:color w:val="000000" w:themeColor="text1"/>
                <w:sz w:val="24"/>
                <w:szCs w:val="24"/>
              </w:rPr>
            </w:pPr>
            <w:r>
              <w:rPr>
                <w:color w:val="000000" w:themeColor="text1"/>
                <w:sz w:val="24"/>
                <w:szCs w:val="24"/>
              </w:rPr>
              <w:t>Chorley Rural East, Chorley</w:t>
            </w:r>
          </w:p>
        </w:tc>
        <w:tc>
          <w:tcPr>
            <w:tcW w:w="12332" w:type="dxa"/>
          </w:tcPr>
          <w:p w:rsidR="00FE4477" w:rsidP="00FE4477">
            <w:pPr>
              <w:jc w:val="both"/>
              <w:rPr>
                <w:b/>
                <w:color w:val="000000" w:themeColor="text1"/>
                <w:sz w:val="24"/>
                <w:szCs w:val="24"/>
              </w:rPr>
            </w:pPr>
            <w:r w:rsidRPr="008B437D">
              <w:rPr>
                <w:sz w:val="24"/>
                <w:szCs w:val="24"/>
              </w:rPr>
              <w:t>This sche</w:t>
            </w:r>
            <w:r>
              <w:rPr>
                <w:sz w:val="24"/>
                <w:szCs w:val="24"/>
              </w:rPr>
              <w:t>me was allocated £30,000</w:t>
            </w:r>
            <w:r w:rsidRPr="008B437D">
              <w:rPr>
                <w:sz w:val="24"/>
                <w:szCs w:val="24"/>
              </w:rPr>
              <w:t>.</w:t>
            </w:r>
            <w:r>
              <w:rPr>
                <w:sz w:val="24"/>
                <w:szCs w:val="24"/>
              </w:rPr>
              <w:t xml:space="preserve"> </w:t>
            </w:r>
            <w:r w:rsidRPr="008B437D">
              <w:rPr>
                <w:sz w:val="24"/>
                <w:szCs w:val="24"/>
              </w:rPr>
              <w:t xml:space="preserve">However the works have been completed and the actual costs were </w:t>
            </w:r>
            <w:r>
              <w:rPr>
                <w:sz w:val="24"/>
                <w:szCs w:val="24"/>
              </w:rPr>
              <w:t>64</w:t>
            </w:r>
            <w:r w:rsidRPr="008B437D">
              <w:rPr>
                <w:sz w:val="24"/>
                <w:szCs w:val="24"/>
              </w:rPr>
              <w:t>% less at £</w:t>
            </w:r>
            <w:r>
              <w:rPr>
                <w:sz w:val="24"/>
                <w:szCs w:val="24"/>
              </w:rPr>
              <w:t>10,712</w:t>
            </w:r>
            <w:r w:rsidRPr="008B437D">
              <w:rPr>
                <w:sz w:val="24"/>
                <w:szCs w:val="24"/>
              </w:rPr>
              <w:t>. It is therefore proposed to reduce the allocation to £</w:t>
            </w:r>
            <w:r>
              <w:rPr>
                <w:sz w:val="24"/>
                <w:szCs w:val="24"/>
              </w:rPr>
              <w:t xml:space="preserve">10,712 </w:t>
            </w:r>
            <w:r w:rsidRPr="008B437D">
              <w:rPr>
                <w:sz w:val="24"/>
                <w:szCs w:val="24"/>
              </w:rPr>
              <w:t>and release funding of £19,</w:t>
            </w:r>
            <w:r>
              <w:rPr>
                <w:sz w:val="24"/>
                <w:szCs w:val="24"/>
              </w:rPr>
              <w:t>288.</w:t>
            </w:r>
          </w:p>
        </w:tc>
        <w:tc>
          <w:tcPr>
            <w:tcW w:w="1418" w:type="dxa"/>
            <w:vAlign w:val="center"/>
          </w:tcPr>
          <w:p w:rsidR="00FE4477" w:rsidRPr="00D51B4D" w:rsidP="00FE4477">
            <w:pPr>
              <w:jc w:val="center"/>
              <w:rPr>
                <w:color w:val="000000" w:themeColor="text1"/>
                <w:sz w:val="24"/>
                <w:szCs w:val="24"/>
              </w:rPr>
            </w:pPr>
            <w:r w:rsidRPr="00D51B4D">
              <w:rPr>
                <w:color w:val="000000" w:themeColor="text1"/>
                <w:sz w:val="24"/>
                <w:szCs w:val="24"/>
              </w:rPr>
              <w:t>£30,00</w:t>
            </w:r>
            <w:r w:rsidRPr="00D51B4D">
              <w:rPr>
                <w:color w:val="000000" w:themeColor="text1"/>
                <w:sz w:val="24"/>
                <w:szCs w:val="24"/>
              </w:rPr>
              <w:t>0</w:t>
            </w:r>
          </w:p>
        </w:tc>
        <w:tc>
          <w:tcPr>
            <w:tcW w:w="1559" w:type="dxa"/>
            <w:vAlign w:val="center"/>
          </w:tcPr>
          <w:p w:rsidR="00FE4477" w:rsidRPr="00D51B4D" w:rsidP="00FE4477">
            <w:pPr>
              <w:jc w:val="center"/>
              <w:rPr>
                <w:color w:val="000000" w:themeColor="text1"/>
                <w:sz w:val="24"/>
                <w:szCs w:val="24"/>
              </w:rPr>
            </w:pPr>
            <w:r w:rsidRPr="00D51B4D">
              <w:rPr>
                <w:color w:val="000000" w:themeColor="text1"/>
                <w:sz w:val="24"/>
                <w:szCs w:val="24"/>
              </w:rPr>
              <w:t>£0</w:t>
            </w:r>
          </w:p>
        </w:tc>
        <w:tc>
          <w:tcPr>
            <w:tcW w:w="1134" w:type="dxa"/>
            <w:vAlign w:val="center"/>
          </w:tcPr>
          <w:p w:rsidR="00FE4477" w:rsidRPr="00D51B4D" w:rsidP="00FE4477">
            <w:pPr>
              <w:jc w:val="center"/>
              <w:rPr>
                <w:color w:val="000000" w:themeColor="text1"/>
                <w:sz w:val="24"/>
                <w:szCs w:val="24"/>
              </w:rPr>
            </w:pPr>
            <w:r w:rsidRPr="00D51B4D">
              <w:rPr>
                <w:color w:val="000000" w:themeColor="text1"/>
                <w:sz w:val="24"/>
                <w:szCs w:val="24"/>
              </w:rPr>
              <w:t>£19,288</w:t>
            </w:r>
          </w:p>
        </w:tc>
        <w:tc>
          <w:tcPr>
            <w:tcW w:w="1701" w:type="dxa"/>
            <w:vAlign w:val="center"/>
          </w:tcPr>
          <w:p w:rsidR="00FE4477" w:rsidRPr="00D51B4D" w:rsidP="00FE4477">
            <w:pPr>
              <w:jc w:val="center"/>
              <w:rPr>
                <w:color w:val="000000" w:themeColor="text1"/>
                <w:sz w:val="24"/>
                <w:szCs w:val="24"/>
              </w:rPr>
            </w:pPr>
            <w:r w:rsidRPr="00D51B4D">
              <w:rPr>
                <w:color w:val="000000" w:themeColor="text1"/>
                <w:sz w:val="24"/>
                <w:szCs w:val="24"/>
              </w:rPr>
              <w:t>£10,712</w:t>
            </w:r>
          </w:p>
        </w:tc>
      </w:tr>
      <w:tr w:rsidTr="002F4266">
        <w:tblPrEx>
          <w:tblW w:w="22397" w:type="dxa"/>
          <w:tblInd w:w="-572" w:type="dxa"/>
          <w:tblLayout w:type="fixed"/>
          <w:tblLook w:val="04A0"/>
        </w:tblPrEx>
        <w:trPr>
          <w:trHeight w:val="1383"/>
        </w:trPr>
        <w:tc>
          <w:tcPr>
            <w:tcW w:w="567" w:type="dxa"/>
          </w:tcPr>
          <w:p w:rsidR="00FE4477" w:rsidRPr="002F4266" w:rsidP="00FE4477">
            <w:pPr>
              <w:rPr>
                <w:rFonts w:cs="Arial"/>
                <w:color w:val="000000" w:themeColor="text1"/>
                <w:sz w:val="24"/>
                <w:szCs w:val="24"/>
              </w:rPr>
            </w:pPr>
            <w:r w:rsidRPr="002F4266">
              <w:rPr>
                <w:rFonts w:cs="Arial"/>
                <w:color w:val="000000" w:themeColor="text1"/>
                <w:sz w:val="24"/>
                <w:szCs w:val="24"/>
              </w:rPr>
              <w:t>9.</w:t>
            </w:r>
          </w:p>
        </w:tc>
        <w:tc>
          <w:tcPr>
            <w:tcW w:w="1701" w:type="dxa"/>
          </w:tcPr>
          <w:p w:rsidR="00FE4477" w:rsidRPr="00C92A38" w:rsidP="00FE4477">
            <w:pPr>
              <w:rPr>
                <w:rFonts w:cs="Arial"/>
                <w:color w:val="000000" w:themeColor="text1"/>
                <w:sz w:val="24"/>
                <w:szCs w:val="24"/>
              </w:rPr>
            </w:pPr>
            <w:r>
              <w:rPr>
                <w:rFonts w:cs="Arial"/>
                <w:color w:val="000000" w:themeColor="text1"/>
                <w:sz w:val="24"/>
                <w:szCs w:val="24"/>
              </w:rPr>
              <w:t>Footpath 157 Burnley Hospital Path</w:t>
            </w:r>
          </w:p>
        </w:tc>
        <w:tc>
          <w:tcPr>
            <w:tcW w:w="1985" w:type="dxa"/>
          </w:tcPr>
          <w:p w:rsidR="00FE4477" w:rsidRPr="00C92A38" w:rsidP="00FE4477">
            <w:pPr>
              <w:rPr>
                <w:color w:val="000000" w:themeColor="text1"/>
                <w:sz w:val="24"/>
                <w:szCs w:val="24"/>
              </w:rPr>
            </w:pPr>
            <w:r w:rsidRPr="00D45286">
              <w:rPr>
                <w:rFonts w:cs="Arial"/>
                <w:color w:val="000000"/>
                <w:sz w:val="24"/>
                <w:szCs w:val="24"/>
              </w:rPr>
              <w:t>Burn</w:t>
            </w:r>
            <w:r>
              <w:rPr>
                <w:rFonts w:cs="Arial"/>
                <w:color w:val="000000"/>
                <w:sz w:val="24"/>
                <w:szCs w:val="24"/>
              </w:rPr>
              <w:t>ley North East, Burnley</w:t>
            </w:r>
          </w:p>
        </w:tc>
        <w:tc>
          <w:tcPr>
            <w:tcW w:w="12332" w:type="dxa"/>
          </w:tcPr>
          <w:p w:rsidR="00FE4477" w:rsidRPr="00C351E7" w:rsidP="0072281C">
            <w:pPr>
              <w:jc w:val="both"/>
              <w:rPr>
                <w:color w:val="000000" w:themeColor="text1"/>
                <w:sz w:val="24"/>
                <w:szCs w:val="24"/>
              </w:rPr>
            </w:pPr>
            <w:r>
              <w:rPr>
                <w:color w:val="000000" w:themeColor="text1"/>
                <w:sz w:val="24"/>
                <w:szCs w:val="24"/>
              </w:rPr>
              <w:t>This scheme was allocated £15,750 to widen and resurface this well used path to Burnley Hospital. However,</w:t>
            </w:r>
            <w:r>
              <w:rPr>
                <w:color w:val="000000" w:themeColor="text1"/>
                <w:sz w:val="24"/>
                <w:szCs w:val="24"/>
              </w:rPr>
              <w:t xml:space="preserve"> a further significant part of the path has deteriorated and as such it is now</w:t>
            </w:r>
            <w:r w:rsidRPr="00C351E7">
              <w:rPr>
                <w:color w:val="000000" w:themeColor="text1"/>
                <w:sz w:val="24"/>
                <w:szCs w:val="24"/>
              </w:rPr>
              <w:t xml:space="preserve"> neces</w:t>
            </w:r>
            <w:r>
              <w:rPr>
                <w:color w:val="000000" w:themeColor="text1"/>
                <w:sz w:val="24"/>
                <w:szCs w:val="24"/>
              </w:rPr>
              <w:t>sary to address the full length of the path. To enable these works to be carried out it is proposed that the additional £6,375 monies required are allocated from the releas</w:t>
            </w:r>
            <w:r>
              <w:rPr>
                <w:color w:val="000000" w:themeColor="text1"/>
                <w:sz w:val="24"/>
                <w:szCs w:val="24"/>
              </w:rPr>
              <w:t>ed monies in the Bridleway 86 scheme 8 above.</w:t>
            </w:r>
          </w:p>
        </w:tc>
        <w:tc>
          <w:tcPr>
            <w:tcW w:w="1418" w:type="dxa"/>
            <w:vAlign w:val="center"/>
          </w:tcPr>
          <w:p w:rsidR="00FE4477" w:rsidRPr="003803F1" w:rsidP="00FE4477">
            <w:pPr>
              <w:jc w:val="center"/>
              <w:rPr>
                <w:color w:val="000000" w:themeColor="text1"/>
                <w:sz w:val="24"/>
                <w:szCs w:val="24"/>
              </w:rPr>
            </w:pPr>
            <w:r w:rsidRPr="003803F1">
              <w:rPr>
                <w:color w:val="000000" w:themeColor="text1"/>
                <w:sz w:val="24"/>
                <w:szCs w:val="24"/>
              </w:rPr>
              <w:t>£15,750</w:t>
            </w:r>
          </w:p>
        </w:tc>
        <w:tc>
          <w:tcPr>
            <w:tcW w:w="1559" w:type="dxa"/>
            <w:vAlign w:val="center"/>
          </w:tcPr>
          <w:p w:rsidR="00FE4477" w:rsidRPr="003803F1" w:rsidP="00FE4477">
            <w:pPr>
              <w:jc w:val="center"/>
              <w:rPr>
                <w:color w:val="000000" w:themeColor="text1"/>
                <w:sz w:val="24"/>
                <w:szCs w:val="24"/>
              </w:rPr>
            </w:pPr>
            <w:r>
              <w:rPr>
                <w:color w:val="000000" w:themeColor="text1"/>
                <w:sz w:val="24"/>
                <w:szCs w:val="24"/>
              </w:rPr>
              <w:t>£6,375</w:t>
            </w:r>
          </w:p>
        </w:tc>
        <w:tc>
          <w:tcPr>
            <w:tcW w:w="1134" w:type="dxa"/>
            <w:vAlign w:val="center"/>
          </w:tcPr>
          <w:p w:rsidR="00FE4477" w:rsidRPr="003803F1" w:rsidP="00FE4477">
            <w:pPr>
              <w:jc w:val="center"/>
              <w:rPr>
                <w:color w:val="000000" w:themeColor="text1"/>
                <w:sz w:val="24"/>
                <w:szCs w:val="24"/>
              </w:rPr>
            </w:pPr>
            <w:r>
              <w:rPr>
                <w:color w:val="000000" w:themeColor="text1"/>
                <w:sz w:val="24"/>
                <w:szCs w:val="24"/>
              </w:rPr>
              <w:t>£0</w:t>
            </w:r>
          </w:p>
        </w:tc>
        <w:tc>
          <w:tcPr>
            <w:tcW w:w="1701" w:type="dxa"/>
            <w:vAlign w:val="center"/>
          </w:tcPr>
          <w:p w:rsidR="00FE4477" w:rsidRPr="003803F1" w:rsidP="00FE4477">
            <w:pPr>
              <w:jc w:val="center"/>
              <w:rPr>
                <w:color w:val="000000" w:themeColor="text1"/>
                <w:sz w:val="24"/>
                <w:szCs w:val="24"/>
              </w:rPr>
            </w:pPr>
            <w:r>
              <w:rPr>
                <w:color w:val="000000" w:themeColor="text1"/>
                <w:sz w:val="24"/>
                <w:szCs w:val="24"/>
              </w:rPr>
              <w:t>£22,125</w:t>
            </w:r>
          </w:p>
        </w:tc>
      </w:tr>
      <w:tr w:rsidTr="002F4266">
        <w:tblPrEx>
          <w:tblW w:w="22397" w:type="dxa"/>
          <w:tblInd w:w="-572" w:type="dxa"/>
          <w:tblLayout w:type="fixed"/>
          <w:tblLook w:val="04A0"/>
        </w:tblPrEx>
        <w:trPr>
          <w:trHeight w:val="1218"/>
        </w:trPr>
        <w:tc>
          <w:tcPr>
            <w:tcW w:w="567" w:type="dxa"/>
          </w:tcPr>
          <w:p w:rsidR="00FE4477" w:rsidRPr="002F4266" w:rsidP="00FE4477">
            <w:pPr>
              <w:rPr>
                <w:rFonts w:cs="Arial"/>
                <w:color w:val="000000" w:themeColor="text1"/>
                <w:sz w:val="24"/>
                <w:szCs w:val="24"/>
              </w:rPr>
            </w:pPr>
            <w:r w:rsidRPr="002F4266">
              <w:rPr>
                <w:rFonts w:cs="Arial"/>
                <w:color w:val="000000" w:themeColor="text1"/>
                <w:sz w:val="24"/>
                <w:szCs w:val="24"/>
              </w:rPr>
              <w:t>10.</w:t>
            </w:r>
          </w:p>
        </w:tc>
        <w:tc>
          <w:tcPr>
            <w:tcW w:w="1701" w:type="dxa"/>
          </w:tcPr>
          <w:p w:rsidR="00FE4477" w:rsidRPr="00675D44" w:rsidP="00FE4477">
            <w:pPr>
              <w:rPr>
                <w:rFonts w:cs="Arial"/>
                <w:color w:val="000000" w:themeColor="text1"/>
                <w:sz w:val="24"/>
                <w:szCs w:val="24"/>
              </w:rPr>
            </w:pPr>
            <w:r w:rsidRPr="00675D44">
              <w:rPr>
                <w:rFonts w:cs="Arial"/>
                <w:color w:val="000000" w:themeColor="text1"/>
                <w:sz w:val="24"/>
                <w:szCs w:val="24"/>
              </w:rPr>
              <w:t>Footpath 43, Billington</w:t>
            </w:r>
          </w:p>
        </w:tc>
        <w:tc>
          <w:tcPr>
            <w:tcW w:w="1985" w:type="dxa"/>
          </w:tcPr>
          <w:p w:rsidR="00FE4477" w:rsidRPr="00675D44" w:rsidP="00FE4477">
            <w:pPr>
              <w:rPr>
                <w:color w:val="000000" w:themeColor="text1"/>
                <w:sz w:val="24"/>
                <w:szCs w:val="24"/>
              </w:rPr>
            </w:pPr>
            <w:r w:rsidRPr="00675D44">
              <w:rPr>
                <w:rFonts w:cs="Arial"/>
                <w:color w:val="000000" w:themeColor="text1"/>
                <w:sz w:val="24"/>
                <w:szCs w:val="24"/>
              </w:rPr>
              <w:t>Ribble Valley South West &amp; North East, Ribble Valley</w:t>
            </w:r>
          </w:p>
        </w:tc>
        <w:tc>
          <w:tcPr>
            <w:tcW w:w="12332" w:type="dxa"/>
          </w:tcPr>
          <w:p w:rsidR="00FE4477" w:rsidRPr="00675D44" w:rsidP="0072281C">
            <w:pPr>
              <w:jc w:val="both"/>
              <w:rPr>
                <w:color w:val="000000" w:themeColor="text1"/>
                <w:sz w:val="24"/>
                <w:szCs w:val="24"/>
              </w:rPr>
            </w:pPr>
            <w:r w:rsidRPr="00675D44">
              <w:rPr>
                <w:color w:val="000000" w:themeColor="text1"/>
                <w:sz w:val="24"/>
                <w:szCs w:val="24"/>
              </w:rPr>
              <w:t>This scheme was allocated £22,718 to improve and widen this well used urban path connecting Billington</w:t>
            </w:r>
            <w:r w:rsidRPr="00675D44">
              <w:rPr>
                <w:color w:val="000000" w:themeColor="text1"/>
                <w:sz w:val="24"/>
                <w:szCs w:val="24"/>
              </w:rPr>
              <w:t xml:space="preserve"> and Whalley. However</w:t>
            </w:r>
            <w:r>
              <w:rPr>
                <w:color w:val="000000" w:themeColor="text1"/>
                <w:sz w:val="24"/>
                <w:szCs w:val="24"/>
              </w:rPr>
              <w:t>,</w:t>
            </w:r>
            <w:r>
              <w:rPr>
                <w:color w:val="000000" w:themeColor="text1"/>
                <w:sz w:val="24"/>
                <w:szCs w:val="24"/>
              </w:rPr>
              <w:t xml:space="preserve"> </w:t>
            </w:r>
            <w:r w:rsidRPr="00675D44">
              <w:rPr>
                <w:color w:val="000000" w:themeColor="text1"/>
                <w:sz w:val="24"/>
                <w:szCs w:val="24"/>
              </w:rPr>
              <w:t xml:space="preserve">the path has deteriorated further and as such it now requires additional widening and clearance works to </w:t>
            </w:r>
            <w:r w:rsidRPr="00675D44">
              <w:rPr>
                <w:color w:val="000000" w:themeColor="text1"/>
                <w:sz w:val="24"/>
                <w:szCs w:val="24"/>
              </w:rPr>
              <w:t xml:space="preserve">complete the scheme. To enable these works to be carried out it is proposed that the additional £3,424 monies required are allocated from the </w:t>
            </w:r>
            <w:r>
              <w:rPr>
                <w:color w:val="000000" w:themeColor="text1"/>
                <w:sz w:val="24"/>
                <w:szCs w:val="24"/>
              </w:rPr>
              <w:t xml:space="preserve">released monies in the </w:t>
            </w:r>
            <w:r w:rsidRPr="00675D44">
              <w:rPr>
                <w:color w:val="000000" w:themeColor="text1"/>
                <w:sz w:val="24"/>
                <w:szCs w:val="24"/>
              </w:rPr>
              <w:t xml:space="preserve">Bridleway 86 scheme </w:t>
            </w:r>
            <w:r>
              <w:rPr>
                <w:color w:val="000000" w:themeColor="text1"/>
                <w:sz w:val="24"/>
                <w:szCs w:val="24"/>
              </w:rPr>
              <w:t xml:space="preserve">8 </w:t>
            </w:r>
            <w:r w:rsidRPr="00675D44">
              <w:rPr>
                <w:color w:val="000000" w:themeColor="text1"/>
                <w:sz w:val="24"/>
                <w:szCs w:val="24"/>
              </w:rPr>
              <w:t>above.</w:t>
            </w:r>
          </w:p>
        </w:tc>
        <w:tc>
          <w:tcPr>
            <w:tcW w:w="1418" w:type="dxa"/>
            <w:vAlign w:val="center"/>
          </w:tcPr>
          <w:p w:rsidR="00FE4477" w:rsidRPr="00675D44" w:rsidP="00FE4477">
            <w:pPr>
              <w:jc w:val="center"/>
              <w:rPr>
                <w:color w:val="000000" w:themeColor="text1"/>
                <w:sz w:val="24"/>
                <w:szCs w:val="24"/>
              </w:rPr>
            </w:pPr>
            <w:r w:rsidRPr="00675D44">
              <w:rPr>
                <w:color w:val="000000" w:themeColor="text1"/>
                <w:sz w:val="24"/>
                <w:szCs w:val="24"/>
              </w:rPr>
              <w:t>£22,718</w:t>
            </w:r>
          </w:p>
        </w:tc>
        <w:tc>
          <w:tcPr>
            <w:tcW w:w="1559" w:type="dxa"/>
            <w:vAlign w:val="center"/>
          </w:tcPr>
          <w:p w:rsidR="00FE4477" w:rsidRPr="00675D44" w:rsidP="00FE4477">
            <w:pPr>
              <w:jc w:val="center"/>
              <w:rPr>
                <w:color w:val="000000" w:themeColor="text1"/>
                <w:sz w:val="24"/>
                <w:szCs w:val="24"/>
              </w:rPr>
            </w:pPr>
            <w:r w:rsidRPr="00675D44">
              <w:rPr>
                <w:color w:val="000000" w:themeColor="text1"/>
                <w:sz w:val="24"/>
                <w:szCs w:val="24"/>
              </w:rPr>
              <w:t>£3,424</w:t>
            </w:r>
          </w:p>
        </w:tc>
        <w:tc>
          <w:tcPr>
            <w:tcW w:w="1134" w:type="dxa"/>
            <w:vAlign w:val="center"/>
          </w:tcPr>
          <w:p w:rsidR="00FE4477" w:rsidRPr="00675D44" w:rsidP="00FE4477">
            <w:pPr>
              <w:jc w:val="center"/>
              <w:rPr>
                <w:color w:val="000000" w:themeColor="text1"/>
                <w:sz w:val="24"/>
                <w:szCs w:val="24"/>
              </w:rPr>
            </w:pPr>
            <w:r w:rsidRPr="00675D44">
              <w:rPr>
                <w:color w:val="000000" w:themeColor="text1"/>
                <w:sz w:val="24"/>
                <w:szCs w:val="24"/>
              </w:rPr>
              <w:t>£0</w:t>
            </w:r>
          </w:p>
        </w:tc>
        <w:tc>
          <w:tcPr>
            <w:tcW w:w="1701" w:type="dxa"/>
            <w:vAlign w:val="center"/>
          </w:tcPr>
          <w:p w:rsidR="00FE4477" w:rsidRPr="00675D44" w:rsidP="00FE4477">
            <w:pPr>
              <w:jc w:val="center"/>
              <w:rPr>
                <w:color w:val="000000" w:themeColor="text1"/>
                <w:sz w:val="24"/>
                <w:szCs w:val="24"/>
              </w:rPr>
            </w:pPr>
            <w:r w:rsidRPr="00675D44">
              <w:rPr>
                <w:color w:val="000000" w:themeColor="text1"/>
                <w:sz w:val="24"/>
                <w:szCs w:val="24"/>
              </w:rPr>
              <w:t>£26,142</w:t>
            </w:r>
          </w:p>
        </w:tc>
      </w:tr>
      <w:tr w:rsidTr="002F4266">
        <w:tblPrEx>
          <w:tblW w:w="22397" w:type="dxa"/>
          <w:tblInd w:w="-572" w:type="dxa"/>
          <w:tblLayout w:type="fixed"/>
          <w:tblLook w:val="04A0"/>
        </w:tblPrEx>
        <w:trPr>
          <w:trHeight w:val="1547"/>
        </w:trPr>
        <w:tc>
          <w:tcPr>
            <w:tcW w:w="567" w:type="dxa"/>
          </w:tcPr>
          <w:p w:rsidR="00FE4477" w:rsidRPr="002F4266" w:rsidP="00FE4477">
            <w:pPr>
              <w:rPr>
                <w:rFonts w:cs="Arial"/>
                <w:color w:val="000000" w:themeColor="text1"/>
                <w:sz w:val="24"/>
                <w:szCs w:val="24"/>
              </w:rPr>
            </w:pPr>
            <w:r w:rsidRPr="002F4266">
              <w:rPr>
                <w:rFonts w:cs="Arial"/>
                <w:color w:val="000000" w:themeColor="text1"/>
                <w:sz w:val="24"/>
                <w:szCs w:val="24"/>
              </w:rPr>
              <w:t>11.</w:t>
            </w:r>
          </w:p>
        </w:tc>
        <w:tc>
          <w:tcPr>
            <w:tcW w:w="1701" w:type="dxa"/>
          </w:tcPr>
          <w:p w:rsidR="00FE4477" w:rsidRPr="00675D44" w:rsidP="00FE4477">
            <w:pPr>
              <w:rPr>
                <w:rFonts w:cs="Arial"/>
                <w:color w:val="000000" w:themeColor="text1"/>
                <w:sz w:val="24"/>
                <w:szCs w:val="24"/>
              </w:rPr>
            </w:pPr>
            <w:r w:rsidRPr="00675D44">
              <w:rPr>
                <w:rFonts w:cs="Arial"/>
                <w:color w:val="000000" w:themeColor="text1"/>
                <w:sz w:val="24"/>
                <w:szCs w:val="24"/>
              </w:rPr>
              <w:t xml:space="preserve">2016/17 Countywide Reactive Maintenance Fund </w:t>
            </w:r>
          </w:p>
        </w:tc>
        <w:tc>
          <w:tcPr>
            <w:tcW w:w="1985" w:type="dxa"/>
          </w:tcPr>
          <w:p w:rsidR="00FE4477" w:rsidRPr="00675D44" w:rsidP="00FE4477">
            <w:pPr>
              <w:rPr>
                <w:rFonts w:cs="Arial"/>
                <w:color w:val="000000" w:themeColor="text1"/>
                <w:sz w:val="24"/>
                <w:szCs w:val="24"/>
              </w:rPr>
            </w:pPr>
            <w:r w:rsidRPr="00675D44">
              <w:rPr>
                <w:rFonts w:cs="Arial"/>
                <w:color w:val="000000" w:themeColor="text1"/>
                <w:sz w:val="24"/>
                <w:szCs w:val="24"/>
              </w:rPr>
              <w:t>All divisions/districts as necessary</w:t>
            </w:r>
          </w:p>
        </w:tc>
        <w:tc>
          <w:tcPr>
            <w:tcW w:w="12332" w:type="dxa"/>
          </w:tcPr>
          <w:p w:rsidR="00FE4477" w:rsidRPr="00675D44" w:rsidP="0072281C">
            <w:pPr>
              <w:jc w:val="both"/>
              <w:rPr>
                <w:color w:val="000000" w:themeColor="text1"/>
                <w:sz w:val="24"/>
                <w:szCs w:val="24"/>
              </w:rPr>
            </w:pPr>
            <w:r w:rsidRPr="00675D44">
              <w:rPr>
                <w:color w:val="000000" w:themeColor="text1"/>
                <w:sz w:val="24"/>
                <w:szCs w:val="24"/>
              </w:rPr>
              <w:t>The countywide reactive maintenance fund is used to deal with emergency improvement works to the P</w:t>
            </w:r>
            <w:r>
              <w:rPr>
                <w:color w:val="000000" w:themeColor="text1"/>
                <w:sz w:val="24"/>
                <w:szCs w:val="24"/>
              </w:rPr>
              <w:t xml:space="preserve">ublic </w:t>
            </w:r>
            <w:r w:rsidRPr="00675D44">
              <w:rPr>
                <w:color w:val="000000" w:themeColor="text1"/>
                <w:sz w:val="24"/>
                <w:szCs w:val="24"/>
              </w:rPr>
              <w:t>R</w:t>
            </w:r>
            <w:r>
              <w:rPr>
                <w:color w:val="000000" w:themeColor="text1"/>
                <w:sz w:val="24"/>
                <w:szCs w:val="24"/>
              </w:rPr>
              <w:t xml:space="preserve">ights of Way </w:t>
            </w:r>
            <w:r w:rsidRPr="00675D44">
              <w:rPr>
                <w:color w:val="000000" w:themeColor="text1"/>
                <w:sz w:val="24"/>
                <w:szCs w:val="24"/>
              </w:rPr>
              <w:t>network across the county which happen very quickly and</w:t>
            </w:r>
            <w:r w:rsidRPr="00675D44">
              <w:rPr>
                <w:color w:val="000000" w:themeColor="text1"/>
                <w:sz w:val="24"/>
                <w:szCs w:val="24"/>
              </w:rPr>
              <w:t xml:space="preserve"> need responding to straight away. It allows </w:t>
            </w:r>
            <w:r>
              <w:rPr>
                <w:color w:val="000000" w:themeColor="text1"/>
                <w:sz w:val="24"/>
                <w:szCs w:val="24"/>
              </w:rPr>
              <w:t>a quick and effective response</w:t>
            </w:r>
            <w:r w:rsidRPr="00675D44">
              <w:rPr>
                <w:color w:val="000000" w:themeColor="text1"/>
                <w:sz w:val="24"/>
                <w:szCs w:val="24"/>
              </w:rPr>
              <w:t xml:space="preserve"> to emergencies as works on the ground </w:t>
            </w:r>
            <w:r>
              <w:rPr>
                <w:color w:val="000000" w:themeColor="text1"/>
                <w:sz w:val="24"/>
                <w:szCs w:val="24"/>
              </w:rPr>
              <w:t xml:space="preserve">can start </w:t>
            </w:r>
            <w:r w:rsidRPr="00675D44">
              <w:rPr>
                <w:color w:val="000000" w:themeColor="text1"/>
                <w:sz w:val="24"/>
                <w:szCs w:val="24"/>
              </w:rPr>
              <w:t>immediately to rectify these emergencies.  It is proposed that the</w:t>
            </w:r>
            <w:r>
              <w:rPr>
                <w:color w:val="000000" w:themeColor="text1"/>
                <w:sz w:val="24"/>
                <w:szCs w:val="24"/>
              </w:rPr>
              <w:t xml:space="preserve"> remaining £9,493 released</w:t>
            </w:r>
            <w:r w:rsidRPr="00675D44">
              <w:rPr>
                <w:color w:val="000000" w:themeColor="text1"/>
                <w:sz w:val="24"/>
                <w:szCs w:val="24"/>
              </w:rPr>
              <w:t xml:space="preserve"> from the Bridleway 86 </w:t>
            </w:r>
            <w:r>
              <w:rPr>
                <w:color w:val="000000" w:themeColor="text1"/>
                <w:sz w:val="24"/>
                <w:szCs w:val="24"/>
              </w:rPr>
              <w:t>scheme</w:t>
            </w:r>
            <w:r w:rsidRPr="00675D44">
              <w:rPr>
                <w:color w:val="000000" w:themeColor="text1"/>
                <w:sz w:val="24"/>
                <w:szCs w:val="24"/>
              </w:rPr>
              <w:t xml:space="preserve"> </w:t>
            </w:r>
            <w:r>
              <w:rPr>
                <w:color w:val="000000" w:themeColor="text1"/>
                <w:sz w:val="24"/>
                <w:szCs w:val="24"/>
              </w:rPr>
              <w:t xml:space="preserve">8 </w:t>
            </w:r>
            <w:r w:rsidRPr="00675D44">
              <w:rPr>
                <w:color w:val="000000" w:themeColor="text1"/>
                <w:sz w:val="24"/>
                <w:szCs w:val="24"/>
              </w:rPr>
              <w:t>above is</w:t>
            </w:r>
            <w:r w:rsidRPr="00675D44">
              <w:rPr>
                <w:color w:val="000000" w:themeColor="text1"/>
                <w:sz w:val="24"/>
                <w:szCs w:val="24"/>
              </w:rPr>
              <w:t xml:space="preserve"> added into this fund to </w:t>
            </w:r>
            <w:r>
              <w:rPr>
                <w:color w:val="000000" w:themeColor="text1"/>
                <w:sz w:val="24"/>
                <w:szCs w:val="24"/>
              </w:rPr>
              <w:t>provide a continued ability</w:t>
            </w:r>
            <w:r w:rsidRPr="00675D44">
              <w:rPr>
                <w:color w:val="000000" w:themeColor="text1"/>
                <w:sz w:val="24"/>
                <w:szCs w:val="24"/>
              </w:rPr>
              <w:t xml:space="preserve"> to deal with issues and emergencies.  </w:t>
            </w:r>
          </w:p>
        </w:tc>
        <w:tc>
          <w:tcPr>
            <w:tcW w:w="1418" w:type="dxa"/>
            <w:vAlign w:val="center"/>
          </w:tcPr>
          <w:p w:rsidR="00FE4477" w:rsidRPr="00675D44" w:rsidP="00FE4477">
            <w:pPr>
              <w:jc w:val="center"/>
              <w:rPr>
                <w:color w:val="000000" w:themeColor="text1"/>
                <w:sz w:val="24"/>
                <w:szCs w:val="24"/>
              </w:rPr>
            </w:pPr>
            <w:r w:rsidRPr="00675D44">
              <w:rPr>
                <w:color w:val="000000" w:themeColor="text1"/>
                <w:sz w:val="24"/>
                <w:szCs w:val="24"/>
              </w:rPr>
              <w:t>£76,695</w:t>
            </w:r>
          </w:p>
        </w:tc>
        <w:tc>
          <w:tcPr>
            <w:tcW w:w="1559" w:type="dxa"/>
            <w:vAlign w:val="center"/>
          </w:tcPr>
          <w:p w:rsidR="00FE4477" w:rsidRPr="00675D44" w:rsidP="00FE4477">
            <w:pPr>
              <w:jc w:val="center"/>
              <w:rPr>
                <w:color w:val="000000" w:themeColor="text1"/>
                <w:sz w:val="24"/>
                <w:szCs w:val="24"/>
              </w:rPr>
            </w:pPr>
            <w:r w:rsidRPr="00675D44">
              <w:rPr>
                <w:color w:val="000000" w:themeColor="text1"/>
                <w:sz w:val="24"/>
                <w:szCs w:val="24"/>
              </w:rPr>
              <w:t>£9,489</w:t>
            </w:r>
          </w:p>
        </w:tc>
        <w:tc>
          <w:tcPr>
            <w:tcW w:w="1134" w:type="dxa"/>
            <w:vAlign w:val="center"/>
          </w:tcPr>
          <w:p w:rsidR="00FE4477" w:rsidRPr="00675D44" w:rsidP="00FE4477">
            <w:pPr>
              <w:jc w:val="center"/>
              <w:rPr>
                <w:color w:val="000000" w:themeColor="text1"/>
                <w:sz w:val="24"/>
                <w:szCs w:val="24"/>
              </w:rPr>
            </w:pPr>
            <w:r w:rsidRPr="00675D44">
              <w:rPr>
                <w:color w:val="000000" w:themeColor="text1"/>
                <w:sz w:val="24"/>
                <w:szCs w:val="24"/>
              </w:rPr>
              <w:t>£0</w:t>
            </w:r>
          </w:p>
        </w:tc>
        <w:tc>
          <w:tcPr>
            <w:tcW w:w="1701" w:type="dxa"/>
            <w:vAlign w:val="center"/>
          </w:tcPr>
          <w:p w:rsidR="00FE4477" w:rsidRPr="00675D44" w:rsidP="00FE4477">
            <w:pPr>
              <w:jc w:val="center"/>
              <w:rPr>
                <w:color w:val="000000" w:themeColor="text1"/>
                <w:sz w:val="24"/>
                <w:szCs w:val="24"/>
              </w:rPr>
            </w:pPr>
            <w:r w:rsidRPr="00675D44">
              <w:rPr>
                <w:color w:val="000000" w:themeColor="text1"/>
                <w:sz w:val="24"/>
                <w:szCs w:val="24"/>
              </w:rPr>
              <w:t>£86,184</w:t>
            </w:r>
          </w:p>
        </w:tc>
      </w:tr>
      <w:tr w:rsidTr="0010561F">
        <w:tblPrEx>
          <w:tblW w:w="22397" w:type="dxa"/>
          <w:tblInd w:w="-572" w:type="dxa"/>
          <w:tblLayout w:type="fixed"/>
          <w:tblLook w:val="04A0"/>
        </w:tblPrEx>
        <w:trPr>
          <w:trHeight w:val="462"/>
        </w:trPr>
        <w:tc>
          <w:tcPr>
            <w:tcW w:w="567" w:type="dxa"/>
            <w:vAlign w:val="center"/>
          </w:tcPr>
          <w:p w:rsidR="00FE4477" w:rsidRPr="00C92A38" w:rsidP="00FE4477">
            <w:pPr>
              <w:rPr>
                <w:rFonts w:cs="Arial"/>
                <w:color w:val="000000" w:themeColor="text1"/>
                <w:sz w:val="24"/>
                <w:szCs w:val="24"/>
              </w:rPr>
            </w:pPr>
          </w:p>
        </w:tc>
        <w:tc>
          <w:tcPr>
            <w:tcW w:w="1701" w:type="dxa"/>
          </w:tcPr>
          <w:p w:rsidR="00FE4477" w:rsidP="00FE4477">
            <w:pPr>
              <w:rPr>
                <w:rFonts w:cs="Arial"/>
                <w:color w:val="000000" w:themeColor="text1"/>
                <w:sz w:val="24"/>
                <w:szCs w:val="24"/>
              </w:rPr>
            </w:pPr>
          </w:p>
        </w:tc>
        <w:tc>
          <w:tcPr>
            <w:tcW w:w="1985" w:type="dxa"/>
          </w:tcPr>
          <w:p w:rsidR="00FE4477" w:rsidRPr="00C57699" w:rsidP="00FE4477">
            <w:pPr>
              <w:rPr>
                <w:rFonts w:cs="Arial"/>
                <w:color w:val="000000"/>
                <w:sz w:val="24"/>
                <w:szCs w:val="24"/>
              </w:rPr>
            </w:pPr>
          </w:p>
        </w:tc>
        <w:tc>
          <w:tcPr>
            <w:tcW w:w="12332" w:type="dxa"/>
            <w:vAlign w:val="center"/>
          </w:tcPr>
          <w:p w:rsidR="00FE4477" w:rsidP="00FE4477">
            <w:pPr>
              <w:jc w:val="right"/>
              <w:rPr>
                <w:b/>
                <w:color w:val="000000" w:themeColor="text1"/>
                <w:sz w:val="24"/>
                <w:szCs w:val="24"/>
              </w:rPr>
            </w:pPr>
            <w:r>
              <w:rPr>
                <w:b/>
                <w:color w:val="000000" w:themeColor="text1"/>
                <w:sz w:val="24"/>
                <w:szCs w:val="24"/>
              </w:rPr>
              <w:t>Revised 2016/17 New Start Public Rights of Way</w:t>
            </w:r>
          </w:p>
        </w:tc>
        <w:tc>
          <w:tcPr>
            <w:tcW w:w="1418" w:type="dxa"/>
            <w:vAlign w:val="center"/>
          </w:tcPr>
          <w:p w:rsidR="00FE4477" w:rsidP="00FE4477">
            <w:pPr>
              <w:jc w:val="center"/>
              <w:rPr>
                <w:b/>
                <w:color w:val="000000" w:themeColor="text1"/>
                <w:sz w:val="24"/>
                <w:szCs w:val="24"/>
              </w:rPr>
            </w:pPr>
            <w:r>
              <w:rPr>
                <w:b/>
                <w:color w:val="000000" w:themeColor="text1"/>
                <w:sz w:val="24"/>
                <w:szCs w:val="24"/>
              </w:rPr>
              <w:t>£145,163</w:t>
            </w:r>
          </w:p>
        </w:tc>
        <w:tc>
          <w:tcPr>
            <w:tcW w:w="1559" w:type="dxa"/>
            <w:vAlign w:val="center"/>
          </w:tcPr>
          <w:p w:rsidR="00FE4477" w:rsidP="00FE4477">
            <w:pPr>
              <w:jc w:val="center"/>
              <w:rPr>
                <w:b/>
                <w:color w:val="000000" w:themeColor="text1"/>
                <w:sz w:val="24"/>
                <w:szCs w:val="24"/>
              </w:rPr>
            </w:pPr>
            <w:r>
              <w:rPr>
                <w:b/>
                <w:color w:val="000000" w:themeColor="text1"/>
                <w:sz w:val="24"/>
                <w:szCs w:val="24"/>
              </w:rPr>
              <w:t>£19,288</w:t>
            </w:r>
          </w:p>
        </w:tc>
        <w:tc>
          <w:tcPr>
            <w:tcW w:w="1134" w:type="dxa"/>
            <w:vAlign w:val="center"/>
          </w:tcPr>
          <w:p w:rsidR="00FE4477" w:rsidP="00FE4477">
            <w:pPr>
              <w:jc w:val="center"/>
              <w:rPr>
                <w:b/>
                <w:color w:val="000000" w:themeColor="text1"/>
                <w:sz w:val="24"/>
                <w:szCs w:val="24"/>
              </w:rPr>
            </w:pPr>
            <w:r>
              <w:rPr>
                <w:b/>
                <w:color w:val="000000" w:themeColor="text1"/>
                <w:sz w:val="24"/>
                <w:szCs w:val="24"/>
              </w:rPr>
              <w:t>£19,288</w:t>
            </w:r>
          </w:p>
        </w:tc>
        <w:tc>
          <w:tcPr>
            <w:tcW w:w="1701" w:type="dxa"/>
            <w:vAlign w:val="center"/>
          </w:tcPr>
          <w:p w:rsidR="00FE4477" w:rsidP="00FE4477">
            <w:pPr>
              <w:jc w:val="center"/>
              <w:rPr>
                <w:b/>
                <w:color w:val="000000" w:themeColor="text1"/>
                <w:sz w:val="24"/>
                <w:szCs w:val="24"/>
              </w:rPr>
            </w:pPr>
            <w:r>
              <w:rPr>
                <w:b/>
                <w:color w:val="000000" w:themeColor="text1"/>
                <w:sz w:val="24"/>
                <w:szCs w:val="24"/>
              </w:rPr>
              <w:t>£145,163</w:t>
            </w:r>
          </w:p>
        </w:tc>
      </w:tr>
    </w:tbl>
    <w:p w:rsidR="00D81D3D" w:rsidRPr="00B64223" w:rsidP="007826CD">
      <w:pPr>
        <w:rPr>
          <w:b/>
          <w:color w:val="000000" w:themeColor="text1"/>
          <w:sz w:val="24"/>
          <w:szCs w:val="24"/>
        </w:rPr>
      </w:pPr>
    </w:p>
    <w:sectPr w:rsidSect="0045097D">
      <w:footerReference w:type="default" r:id="rId5"/>
      <w:pgSz w:w="23814" w:h="16839" w:orient="landscape" w:code="8"/>
      <w:pgMar w:top="794" w:right="1021" w:bottom="794"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5804279"/>
      <w:docPartObj>
        <w:docPartGallery w:val="Page Numbers (Bottom of Page)"/>
        <w:docPartUnique/>
      </w:docPartObj>
    </w:sdtPr>
    <w:sdtEndPr>
      <w:rPr>
        <w:noProof/>
      </w:rPr>
    </w:sdtEndPr>
    <w:sdtContent>
      <w:p w:rsidR="00CA664A">
        <w:pPr>
          <w:pStyle w:val="Footer"/>
        </w:pPr>
        <w:r>
          <w:fldChar w:fldCharType="begin"/>
        </w:r>
        <w:r>
          <w:instrText xml:space="preserve"> PAGE   \* MERGEFORMAT </w:instrText>
        </w:r>
        <w:r>
          <w:fldChar w:fldCharType="separate"/>
        </w:r>
        <w:r>
          <w:rPr>
            <w:noProof/>
          </w:rPr>
          <w:t>2</w:t>
        </w:r>
        <w:r>
          <w:rPr>
            <w:noProof/>
          </w:rPr>
          <w:fldChar w:fldCharType="end"/>
        </w:r>
      </w:p>
    </w:sdtContent>
  </w:sdt>
  <w:p w:rsidR="00CA664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66A0B"/>
    <w:multiLevelType w:val="hybridMultilevel"/>
    <w:tmpl w:val="E08E2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086ED3"/>
    <w:multiLevelType w:val="hybridMultilevel"/>
    <w:tmpl w:val="BDEC7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56605BA"/>
    <w:multiLevelType w:val="hybridMultilevel"/>
    <w:tmpl w:val="5CBC2A4A"/>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A53482"/>
    <w:multiLevelType w:val="hybridMultilevel"/>
    <w:tmpl w:val="0F127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361CB6"/>
    <w:multiLevelType w:val="hybridMultilevel"/>
    <w:tmpl w:val="57560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B45D92"/>
    <w:multiLevelType w:val="hybridMultilevel"/>
    <w:tmpl w:val="46D24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BD50AF"/>
    <w:multiLevelType w:val="hybridMultilevel"/>
    <w:tmpl w:val="47701A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92D6B2F"/>
    <w:multiLevelType w:val="hybridMultilevel"/>
    <w:tmpl w:val="7300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F16679E"/>
    <w:multiLevelType w:val="hybridMultilevel"/>
    <w:tmpl w:val="6FF0A3FA"/>
    <w:lvl w:ilvl="0">
      <w:start w:val="1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A57E40"/>
    <w:multiLevelType w:val="hybridMultilevel"/>
    <w:tmpl w:val="46B62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E07DA8"/>
    <w:multiLevelType w:val="hybridMultilevel"/>
    <w:tmpl w:val="7FCC1D1C"/>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9"/>
  </w:num>
  <w:num w:numId="5">
    <w:abstractNumId w:val="0"/>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C0003A"/>
    <w:rPr>
      <w:sz w:val="16"/>
      <w:szCs w:val="16"/>
    </w:rPr>
  </w:style>
  <w:style w:type="paragraph" w:styleId="CommentText">
    <w:name w:val="annotation text"/>
    <w:basedOn w:val="Normal"/>
    <w:link w:val="CommentTextChar"/>
    <w:uiPriority w:val="99"/>
    <w:semiHidden/>
    <w:unhideWhenUsed/>
    <w:rsid w:val="00C0003A"/>
    <w:pPr>
      <w:spacing w:line="240" w:lineRule="auto"/>
    </w:pPr>
    <w:rPr>
      <w:sz w:val="20"/>
      <w:szCs w:val="20"/>
    </w:rPr>
  </w:style>
  <w:style w:type="character" w:customStyle="1" w:styleId="CommentTextChar">
    <w:name w:val="Comment Text Char"/>
    <w:basedOn w:val="DefaultParagraphFont"/>
    <w:link w:val="CommentText"/>
    <w:uiPriority w:val="99"/>
    <w:semiHidden/>
    <w:rsid w:val="00C0003A"/>
    <w:rPr>
      <w:sz w:val="20"/>
      <w:szCs w:val="20"/>
    </w:rPr>
  </w:style>
  <w:style w:type="paragraph" w:styleId="CommentSubject">
    <w:name w:val="annotation subject"/>
    <w:basedOn w:val="CommentText"/>
    <w:next w:val="CommentText"/>
    <w:link w:val="CommentSubjectChar"/>
    <w:uiPriority w:val="99"/>
    <w:semiHidden/>
    <w:unhideWhenUsed/>
    <w:rsid w:val="00C0003A"/>
    <w:rPr>
      <w:b/>
      <w:bCs/>
    </w:rPr>
  </w:style>
  <w:style w:type="character" w:customStyle="1" w:styleId="CommentSubjectChar">
    <w:name w:val="Comment Subject Char"/>
    <w:basedOn w:val="CommentTextChar"/>
    <w:link w:val="CommentSubject"/>
    <w:uiPriority w:val="99"/>
    <w:semiHidden/>
    <w:rsid w:val="00C00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E23F-06C1-4060-A9C3-A7EAE60D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6291</TotalTime>
  <Pages>2</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Wilson, Janet</cp:lastModifiedBy>
  <cp:revision>346</cp:revision>
  <cp:lastPrinted>2017-03-01T14:31:00Z</cp:lastPrinted>
  <dcterms:created xsi:type="dcterms:W3CDTF">2016-09-06T08:56:00Z</dcterms:created>
  <dcterms:modified xsi:type="dcterms:W3CDTF">2017-03-01T14:33:00Z</dcterms:modified>
</cp:coreProperties>
</file>